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C885" w14:textId="53B0CB58" w:rsidR="00AC7EBE" w:rsidRPr="00496FC6" w:rsidRDefault="00AC7EBE" w:rsidP="5F2E380D">
      <w:pPr>
        <w:pStyle w:val="Title"/>
        <w:rPr>
          <w:rFonts w:cstheme="minorBidi"/>
        </w:rPr>
      </w:pPr>
      <w:r w:rsidRPr="5F2E380D">
        <w:rPr>
          <w:rFonts w:cstheme="minorBidi"/>
        </w:rPr>
        <w:t>MIFIDPRU 8</w:t>
      </w:r>
      <w:r w:rsidR="000031A3" w:rsidRPr="5F2E380D">
        <w:rPr>
          <w:rFonts w:cstheme="minorBidi"/>
        </w:rPr>
        <w:t xml:space="preserve"> Disclosures</w:t>
      </w:r>
    </w:p>
    <w:p w14:paraId="068160EB" w14:textId="77777777" w:rsidR="00725A98" w:rsidRDefault="00725A98" w:rsidP="00725A98">
      <w:pPr>
        <w:pStyle w:val="ForematterNormal"/>
        <w:spacing w:line="240" w:lineRule="auto"/>
        <w:ind w:left="0"/>
        <w:rPr>
          <w:b/>
          <w:sz w:val="36"/>
          <w:szCs w:val="36"/>
        </w:rPr>
      </w:pPr>
      <w:r>
        <w:rPr>
          <w:b/>
          <w:sz w:val="36"/>
          <w:szCs w:val="36"/>
        </w:rPr>
        <w:t xml:space="preserve">Lazard Asset Management Limited </w:t>
      </w:r>
      <w:r w:rsidRPr="00F4482D">
        <w:rPr>
          <w:b/>
          <w:sz w:val="36"/>
          <w:szCs w:val="36"/>
        </w:rPr>
        <w:t xml:space="preserve">(Ref. Number: </w:t>
      </w:r>
      <w:r>
        <w:rPr>
          <w:b/>
          <w:sz w:val="36"/>
          <w:szCs w:val="36"/>
        </w:rPr>
        <w:t>121839</w:t>
      </w:r>
    </w:p>
    <w:p w14:paraId="2C6FBD5C" w14:textId="77777777" w:rsidR="00725A98" w:rsidRPr="00675ADF" w:rsidRDefault="00725A98" w:rsidP="00725A98">
      <w:pPr>
        <w:pStyle w:val="ForematterNormal"/>
        <w:spacing w:line="240" w:lineRule="auto"/>
        <w:ind w:left="0"/>
        <w:rPr>
          <w:b/>
          <w:sz w:val="36"/>
          <w:szCs w:val="36"/>
        </w:rPr>
      </w:pPr>
      <w:r>
        <w:rPr>
          <w:b/>
          <w:sz w:val="36"/>
          <w:szCs w:val="36"/>
        </w:rPr>
        <w:t>Lazard Fund Managers Limited</w:t>
      </w:r>
      <w:r w:rsidRPr="00675ADF">
        <w:rPr>
          <w:b/>
          <w:sz w:val="36"/>
          <w:szCs w:val="36"/>
        </w:rPr>
        <w:t xml:space="preserve"> </w:t>
      </w:r>
      <w:r w:rsidRPr="00F4482D">
        <w:rPr>
          <w:b/>
          <w:sz w:val="36"/>
          <w:szCs w:val="36"/>
        </w:rPr>
        <w:t>(Ref. Number: 1</w:t>
      </w:r>
      <w:r>
        <w:rPr>
          <w:b/>
          <w:sz w:val="36"/>
          <w:szCs w:val="36"/>
        </w:rPr>
        <w:t>22190</w:t>
      </w:r>
      <w:r w:rsidRPr="00F4482D">
        <w:rPr>
          <w:b/>
          <w:sz w:val="36"/>
          <w:szCs w:val="36"/>
        </w:rPr>
        <w:t>)</w:t>
      </w:r>
    </w:p>
    <w:p w14:paraId="7F056543" w14:textId="2383EBC9" w:rsidR="624A494C" w:rsidRDefault="00512FFC" w:rsidP="0B62082A">
      <w:pPr>
        <w:ind w:left="0"/>
        <w:rPr>
          <w:rFonts w:ascii="Calibri" w:eastAsia="Calibri" w:hAnsi="Calibri" w:cs="Calibri"/>
          <w:b/>
          <w:bCs/>
          <w:sz w:val="32"/>
          <w:szCs w:val="32"/>
        </w:rPr>
      </w:pPr>
      <w:r>
        <w:rPr>
          <w:rFonts w:ascii="Calibri" w:eastAsia="Calibri" w:hAnsi="Calibri" w:cs="Calibri"/>
          <w:b/>
          <w:bCs/>
          <w:sz w:val="32"/>
          <w:szCs w:val="32"/>
        </w:rPr>
        <w:t xml:space="preserve">June </w:t>
      </w:r>
      <w:r w:rsidR="624A494C" w:rsidRPr="0B62082A">
        <w:rPr>
          <w:rFonts w:ascii="Calibri" w:eastAsia="Calibri" w:hAnsi="Calibri" w:cs="Calibri"/>
          <w:b/>
          <w:bCs/>
          <w:sz w:val="32"/>
          <w:szCs w:val="32"/>
        </w:rPr>
        <w:t>202</w:t>
      </w:r>
      <w:r w:rsidR="00B42E37">
        <w:rPr>
          <w:rFonts w:ascii="Calibri" w:eastAsia="Calibri" w:hAnsi="Calibri" w:cs="Calibri"/>
          <w:b/>
          <w:bCs/>
          <w:sz w:val="32"/>
          <w:szCs w:val="32"/>
        </w:rPr>
        <w:t>4</w:t>
      </w:r>
    </w:p>
    <w:p w14:paraId="4EDE17F1" w14:textId="0E4513CB" w:rsidR="0B62082A" w:rsidRDefault="0B62082A" w:rsidP="0B62082A">
      <w:pPr>
        <w:pStyle w:val="ForematterNormal"/>
        <w:spacing w:line="276" w:lineRule="auto"/>
        <w:ind w:left="0"/>
        <w:rPr>
          <w:b/>
          <w:bCs/>
          <w:sz w:val="32"/>
          <w:szCs w:val="32"/>
          <w:highlight w:val="yellow"/>
        </w:rPr>
      </w:pPr>
    </w:p>
    <w:p w14:paraId="4586E6EB" w14:textId="77777777" w:rsidR="00AC7EBE" w:rsidRDefault="00AC7EBE" w:rsidP="00AC7EBE">
      <w:pPr>
        <w:pStyle w:val="ForematterNormal"/>
        <w:rPr>
          <w:rFonts w:cstheme="minorHAnsi"/>
        </w:rPr>
      </w:pPr>
    </w:p>
    <w:p w14:paraId="6BE25504" w14:textId="77777777" w:rsidR="00155486" w:rsidRDefault="00155486" w:rsidP="00AC7EBE">
      <w:pPr>
        <w:pStyle w:val="ForematterNormal"/>
        <w:rPr>
          <w:rFonts w:cstheme="minorHAnsi"/>
        </w:rPr>
      </w:pPr>
    </w:p>
    <w:p w14:paraId="2BC6B644" w14:textId="77777777" w:rsidR="00155486" w:rsidRDefault="00155486" w:rsidP="00AC7EBE">
      <w:pPr>
        <w:pStyle w:val="ForematterNormal"/>
        <w:rPr>
          <w:rFonts w:cstheme="minorHAnsi"/>
        </w:rPr>
      </w:pPr>
    </w:p>
    <w:p w14:paraId="391D682A" w14:textId="77777777" w:rsidR="00155486" w:rsidRDefault="00155486" w:rsidP="00AC7EBE">
      <w:pPr>
        <w:pStyle w:val="ForematterNormal"/>
        <w:rPr>
          <w:rFonts w:cstheme="minorHAnsi"/>
        </w:rPr>
      </w:pPr>
    </w:p>
    <w:p w14:paraId="6BF7B105" w14:textId="77777777" w:rsidR="00155486" w:rsidRDefault="00155486" w:rsidP="00AC7EBE">
      <w:pPr>
        <w:pStyle w:val="ForematterNormal"/>
        <w:rPr>
          <w:rFonts w:cstheme="minorHAnsi"/>
        </w:rPr>
      </w:pPr>
    </w:p>
    <w:p w14:paraId="2AFB52D7" w14:textId="77777777" w:rsidR="00155486" w:rsidRDefault="00155486" w:rsidP="00AC7EBE">
      <w:pPr>
        <w:pStyle w:val="ForematterNormal"/>
        <w:rPr>
          <w:rFonts w:cstheme="minorHAnsi"/>
        </w:rPr>
      </w:pPr>
    </w:p>
    <w:p w14:paraId="2435C19D" w14:textId="77777777" w:rsidR="00155486" w:rsidRDefault="00155486" w:rsidP="00AC7EBE">
      <w:pPr>
        <w:pStyle w:val="ForematterNormal"/>
        <w:rPr>
          <w:rFonts w:cstheme="minorHAnsi"/>
        </w:rPr>
      </w:pPr>
    </w:p>
    <w:p w14:paraId="7790CBFD" w14:textId="77777777" w:rsidR="00155486" w:rsidRDefault="00155486" w:rsidP="00AC7EBE">
      <w:pPr>
        <w:pStyle w:val="ForematterNormal"/>
        <w:rPr>
          <w:rFonts w:cstheme="minorHAnsi"/>
        </w:rPr>
      </w:pPr>
    </w:p>
    <w:p w14:paraId="441A4F0B" w14:textId="77777777" w:rsidR="00155486" w:rsidRDefault="00155486" w:rsidP="00AC7EBE">
      <w:pPr>
        <w:pStyle w:val="ForematterNormal"/>
        <w:rPr>
          <w:rFonts w:cstheme="minorHAnsi"/>
        </w:rPr>
      </w:pPr>
    </w:p>
    <w:p w14:paraId="6A604345" w14:textId="77777777" w:rsidR="00155486" w:rsidRDefault="00155486" w:rsidP="00AC7EBE">
      <w:pPr>
        <w:pStyle w:val="ForematterNormal"/>
        <w:rPr>
          <w:rFonts w:cstheme="minorHAnsi"/>
        </w:rPr>
      </w:pPr>
    </w:p>
    <w:p w14:paraId="78997782" w14:textId="77777777" w:rsidR="00155486" w:rsidRDefault="00155486" w:rsidP="00AC7EBE">
      <w:pPr>
        <w:pStyle w:val="ForematterNormal"/>
        <w:rPr>
          <w:rFonts w:cstheme="minorHAnsi"/>
        </w:rPr>
      </w:pPr>
    </w:p>
    <w:p w14:paraId="0F5D0216" w14:textId="77777777" w:rsidR="00155486" w:rsidRDefault="00155486" w:rsidP="00AC7EBE">
      <w:pPr>
        <w:pStyle w:val="ForematterNormal"/>
        <w:rPr>
          <w:rFonts w:cstheme="minorHAnsi"/>
        </w:rPr>
      </w:pPr>
    </w:p>
    <w:p w14:paraId="09FB0EBE" w14:textId="77777777" w:rsidR="00155486" w:rsidRDefault="00155486" w:rsidP="00AC7EBE">
      <w:pPr>
        <w:pStyle w:val="ForematterNormal"/>
        <w:rPr>
          <w:rFonts w:cstheme="minorHAnsi"/>
        </w:rPr>
      </w:pPr>
    </w:p>
    <w:p w14:paraId="35BDC96F" w14:textId="77777777" w:rsidR="00155486" w:rsidRDefault="00155486" w:rsidP="00AC7EBE">
      <w:pPr>
        <w:pStyle w:val="ForematterNormal"/>
        <w:rPr>
          <w:rFonts w:cstheme="minorHAnsi"/>
        </w:rPr>
      </w:pPr>
    </w:p>
    <w:p w14:paraId="19AA902D" w14:textId="77777777" w:rsidR="00155486" w:rsidRDefault="00155486" w:rsidP="00AC7EBE">
      <w:pPr>
        <w:pStyle w:val="ForematterNormal"/>
        <w:rPr>
          <w:rFonts w:cstheme="minorHAnsi"/>
        </w:rPr>
      </w:pPr>
    </w:p>
    <w:p w14:paraId="59E9AE8B" w14:textId="77777777" w:rsidR="00155486" w:rsidRDefault="00155486" w:rsidP="00AC7EBE">
      <w:pPr>
        <w:pStyle w:val="ForematterNormal"/>
        <w:rPr>
          <w:rFonts w:cstheme="minorHAnsi"/>
        </w:rPr>
      </w:pPr>
    </w:p>
    <w:p w14:paraId="68866CFA" w14:textId="77777777" w:rsidR="00155486" w:rsidRDefault="00155486" w:rsidP="00AC7EBE">
      <w:pPr>
        <w:pStyle w:val="ForematterNormal"/>
        <w:rPr>
          <w:rFonts w:cstheme="minorHAnsi"/>
        </w:rPr>
      </w:pPr>
    </w:p>
    <w:p w14:paraId="5C1D4CD1" w14:textId="77777777" w:rsidR="00155486" w:rsidRDefault="00155486" w:rsidP="00AC7EBE">
      <w:pPr>
        <w:pStyle w:val="ForematterNormal"/>
        <w:rPr>
          <w:rFonts w:cstheme="minorHAnsi"/>
        </w:rPr>
      </w:pPr>
    </w:p>
    <w:p w14:paraId="341894D2" w14:textId="77777777" w:rsidR="00155486" w:rsidRDefault="00155486" w:rsidP="00AC7EBE">
      <w:pPr>
        <w:pStyle w:val="ForematterNormal"/>
        <w:rPr>
          <w:rFonts w:cstheme="minorHAnsi"/>
        </w:rPr>
      </w:pPr>
    </w:p>
    <w:p w14:paraId="044CDFAB" w14:textId="77777777" w:rsidR="00155486" w:rsidRDefault="00155486" w:rsidP="00AC7EBE">
      <w:pPr>
        <w:pStyle w:val="ForematterNormal"/>
        <w:rPr>
          <w:rFonts w:cstheme="minorHAnsi"/>
        </w:rPr>
      </w:pPr>
    </w:p>
    <w:p w14:paraId="29DBC334" w14:textId="77777777" w:rsidR="00155486" w:rsidRDefault="00155486" w:rsidP="00AC7EBE">
      <w:pPr>
        <w:pStyle w:val="ForematterNormal"/>
        <w:rPr>
          <w:rFonts w:cstheme="minorHAnsi"/>
        </w:rPr>
      </w:pPr>
    </w:p>
    <w:p w14:paraId="1B1C0B44" w14:textId="77777777" w:rsidR="00155486" w:rsidRDefault="00155486" w:rsidP="00AC7EBE">
      <w:pPr>
        <w:pStyle w:val="ForematterNormal"/>
        <w:rPr>
          <w:rFonts w:cstheme="minorHAnsi"/>
        </w:rPr>
      </w:pPr>
    </w:p>
    <w:p w14:paraId="099136B3" w14:textId="77777777" w:rsidR="00155486" w:rsidRDefault="00155486" w:rsidP="00AC7EBE">
      <w:pPr>
        <w:pStyle w:val="ForematterNormal"/>
        <w:rPr>
          <w:rFonts w:cstheme="minorHAnsi"/>
        </w:rPr>
      </w:pPr>
    </w:p>
    <w:p w14:paraId="56A90CE6" w14:textId="77777777" w:rsidR="00155486" w:rsidRDefault="00155486" w:rsidP="00AC7EBE">
      <w:pPr>
        <w:pStyle w:val="ForematterNormal"/>
        <w:rPr>
          <w:rFonts w:cstheme="minorHAnsi"/>
        </w:rPr>
      </w:pPr>
    </w:p>
    <w:sdt>
      <w:sdtPr>
        <w:rPr>
          <w:rFonts w:asciiTheme="minorHAnsi" w:eastAsiaTheme="minorHAnsi" w:hAnsiTheme="minorHAnsi" w:cstheme="minorBidi"/>
          <w:color w:val="auto"/>
          <w:sz w:val="22"/>
          <w:szCs w:val="22"/>
          <w:lang w:val="en-GB"/>
        </w:rPr>
        <w:id w:val="1964964886"/>
        <w:docPartObj>
          <w:docPartGallery w:val="Table of Contents"/>
          <w:docPartUnique/>
        </w:docPartObj>
      </w:sdtPr>
      <w:sdtEndPr/>
      <w:sdtContent>
        <w:p w14:paraId="6F1F0E2F" w14:textId="77777777" w:rsidR="00CD266F" w:rsidRPr="00B404A7" w:rsidRDefault="00CD266F" w:rsidP="00CD266F">
          <w:pPr>
            <w:pStyle w:val="TOCHeading"/>
            <w:rPr>
              <w:b/>
              <w:bCs/>
              <w:color w:val="C00000"/>
            </w:rPr>
          </w:pPr>
          <w:r w:rsidRPr="00B404A7">
            <w:rPr>
              <w:b/>
              <w:bCs/>
              <w:color w:val="C00000"/>
            </w:rPr>
            <w:t>Contents</w:t>
          </w:r>
        </w:p>
        <w:p w14:paraId="093D5D53" w14:textId="30DCF95E" w:rsidR="00441970" w:rsidRDefault="00B7643A">
          <w:pPr>
            <w:pStyle w:val="TOC1"/>
            <w:rPr>
              <w:rFonts w:eastAsiaTheme="minorEastAsia"/>
              <w:noProof/>
              <w:lang w:val="en-US"/>
            </w:rPr>
          </w:pPr>
          <w:r>
            <w:fldChar w:fldCharType="begin"/>
          </w:r>
          <w:r w:rsidR="00CD266F">
            <w:instrText>TOC \o "1-3" \h \z \u</w:instrText>
          </w:r>
          <w:r>
            <w:fldChar w:fldCharType="separate"/>
          </w:r>
          <w:hyperlink w:anchor="_Toc139016552" w:history="1">
            <w:r w:rsidR="00441970" w:rsidRPr="00C27EB7">
              <w:rPr>
                <w:rStyle w:val="Hyperlink"/>
                <w:noProof/>
              </w:rPr>
              <w:t>1.</w:t>
            </w:r>
            <w:r w:rsidR="00441970">
              <w:rPr>
                <w:rFonts w:eastAsiaTheme="minorEastAsia"/>
                <w:noProof/>
                <w:lang w:val="en-US"/>
              </w:rPr>
              <w:tab/>
            </w:r>
            <w:r w:rsidR="00441970" w:rsidRPr="00C27EB7">
              <w:rPr>
                <w:rStyle w:val="Hyperlink"/>
                <w:noProof/>
              </w:rPr>
              <w:t>Introduction</w:t>
            </w:r>
            <w:r w:rsidR="00441970">
              <w:rPr>
                <w:noProof/>
                <w:webHidden/>
              </w:rPr>
              <w:tab/>
            </w:r>
            <w:r w:rsidR="00441970">
              <w:rPr>
                <w:noProof/>
                <w:webHidden/>
              </w:rPr>
              <w:fldChar w:fldCharType="begin"/>
            </w:r>
            <w:r w:rsidR="00441970">
              <w:rPr>
                <w:noProof/>
                <w:webHidden/>
              </w:rPr>
              <w:instrText xml:space="preserve"> PAGEREF _Toc139016552 \h </w:instrText>
            </w:r>
            <w:r w:rsidR="00441970">
              <w:rPr>
                <w:noProof/>
                <w:webHidden/>
              </w:rPr>
            </w:r>
            <w:r w:rsidR="00441970">
              <w:rPr>
                <w:noProof/>
                <w:webHidden/>
              </w:rPr>
              <w:fldChar w:fldCharType="separate"/>
            </w:r>
            <w:r w:rsidR="00441970">
              <w:rPr>
                <w:noProof/>
                <w:webHidden/>
              </w:rPr>
              <w:t>4</w:t>
            </w:r>
            <w:r w:rsidR="00441970">
              <w:rPr>
                <w:noProof/>
                <w:webHidden/>
              </w:rPr>
              <w:fldChar w:fldCharType="end"/>
            </w:r>
          </w:hyperlink>
        </w:p>
        <w:p w14:paraId="1231E0B8" w14:textId="173ED0CE" w:rsidR="00441970" w:rsidRDefault="003A618F">
          <w:pPr>
            <w:pStyle w:val="TOC2"/>
            <w:rPr>
              <w:rFonts w:eastAsiaTheme="minorEastAsia"/>
              <w:noProof/>
              <w:lang w:val="en-US"/>
            </w:rPr>
          </w:pPr>
          <w:hyperlink w:anchor="_Toc139016553" w:history="1">
            <w:r w:rsidR="00441970" w:rsidRPr="00C27EB7">
              <w:rPr>
                <w:rStyle w:val="Hyperlink"/>
                <w:rFonts w:cstheme="minorHAnsi"/>
                <w:noProof/>
              </w:rPr>
              <w:t>1.1.</w:t>
            </w:r>
            <w:r w:rsidR="00441970">
              <w:rPr>
                <w:rFonts w:eastAsiaTheme="minorEastAsia"/>
                <w:noProof/>
                <w:lang w:val="en-US"/>
              </w:rPr>
              <w:tab/>
            </w:r>
            <w:r w:rsidR="00441970" w:rsidRPr="00C27EB7">
              <w:rPr>
                <w:rStyle w:val="Hyperlink"/>
                <w:noProof/>
              </w:rPr>
              <w:t>Business Overview</w:t>
            </w:r>
            <w:r w:rsidR="00441970">
              <w:rPr>
                <w:noProof/>
                <w:webHidden/>
              </w:rPr>
              <w:tab/>
            </w:r>
            <w:r w:rsidR="00441970">
              <w:rPr>
                <w:noProof/>
                <w:webHidden/>
              </w:rPr>
              <w:fldChar w:fldCharType="begin"/>
            </w:r>
            <w:r w:rsidR="00441970">
              <w:rPr>
                <w:noProof/>
                <w:webHidden/>
              </w:rPr>
              <w:instrText xml:space="preserve"> PAGEREF _Toc139016553 \h </w:instrText>
            </w:r>
            <w:r w:rsidR="00441970">
              <w:rPr>
                <w:noProof/>
                <w:webHidden/>
              </w:rPr>
            </w:r>
            <w:r w:rsidR="00441970">
              <w:rPr>
                <w:noProof/>
                <w:webHidden/>
              </w:rPr>
              <w:fldChar w:fldCharType="separate"/>
            </w:r>
            <w:r w:rsidR="00441970">
              <w:rPr>
                <w:noProof/>
                <w:webHidden/>
              </w:rPr>
              <w:t>4</w:t>
            </w:r>
            <w:r w:rsidR="00441970">
              <w:rPr>
                <w:noProof/>
                <w:webHidden/>
              </w:rPr>
              <w:fldChar w:fldCharType="end"/>
            </w:r>
          </w:hyperlink>
        </w:p>
        <w:p w14:paraId="1E86A2BA" w14:textId="6952D481" w:rsidR="00441970" w:rsidRDefault="003A618F">
          <w:pPr>
            <w:pStyle w:val="TOC2"/>
            <w:rPr>
              <w:rFonts w:eastAsiaTheme="minorEastAsia"/>
              <w:noProof/>
              <w:lang w:val="en-US"/>
            </w:rPr>
          </w:pPr>
          <w:hyperlink w:anchor="_Toc139016554" w:history="1">
            <w:r w:rsidR="00441970" w:rsidRPr="00C27EB7">
              <w:rPr>
                <w:rStyle w:val="Hyperlink"/>
                <w:rFonts w:cstheme="minorHAnsi"/>
                <w:noProof/>
              </w:rPr>
              <w:t>1.2.</w:t>
            </w:r>
            <w:r w:rsidR="00441970">
              <w:rPr>
                <w:rFonts w:eastAsiaTheme="minorEastAsia"/>
                <w:noProof/>
                <w:lang w:val="en-US"/>
              </w:rPr>
              <w:tab/>
            </w:r>
            <w:r w:rsidR="00441970" w:rsidRPr="00C27EB7">
              <w:rPr>
                <w:rStyle w:val="Hyperlink"/>
                <w:noProof/>
              </w:rPr>
              <w:t>Classification</w:t>
            </w:r>
            <w:r w:rsidR="00441970">
              <w:rPr>
                <w:noProof/>
                <w:webHidden/>
              </w:rPr>
              <w:tab/>
            </w:r>
            <w:r w:rsidR="00441970">
              <w:rPr>
                <w:noProof/>
                <w:webHidden/>
              </w:rPr>
              <w:fldChar w:fldCharType="begin"/>
            </w:r>
            <w:r w:rsidR="00441970">
              <w:rPr>
                <w:noProof/>
                <w:webHidden/>
              </w:rPr>
              <w:instrText xml:space="preserve"> PAGEREF _Toc139016554 \h </w:instrText>
            </w:r>
            <w:r w:rsidR="00441970">
              <w:rPr>
                <w:noProof/>
                <w:webHidden/>
              </w:rPr>
            </w:r>
            <w:r w:rsidR="00441970">
              <w:rPr>
                <w:noProof/>
                <w:webHidden/>
              </w:rPr>
              <w:fldChar w:fldCharType="separate"/>
            </w:r>
            <w:r w:rsidR="00441970">
              <w:rPr>
                <w:noProof/>
                <w:webHidden/>
              </w:rPr>
              <w:t>4</w:t>
            </w:r>
            <w:r w:rsidR="00441970">
              <w:rPr>
                <w:noProof/>
                <w:webHidden/>
              </w:rPr>
              <w:fldChar w:fldCharType="end"/>
            </w:r>
          </w:hyperlink>
        </w:p>
        <w:p w14:paraId="2E1D6FAC" w14:textId="26A4968B" w:rsidR="00441970" w:rsidRDefault="003A618F">
          <w:pPr>
            <w:pStyle w:val="TOC2"/>
            <w:rPr>
              <w:rFonts w:eastAsiaTheme="minorEastAsia"/>
              <w:noProof/>
              <w:lang w:val="en-US"/>
            </w:rPr>
          </w:pPr>
          <w:hyperlink w:anchor="_Toc139016555" w:history="1">
            <w:r w:rsidR="00441970" w:rsidRPr="00C27EB7">
              <w:rPr>
                <w:rStyle w:val="Hyperlink"/>
                <w:rFonts w:cstheme="minorHAnsi"/>
                <w:noProof/>
              </w:rPr>
              <w:t>1.3.</w:t>
            </w:r>
            <w:r w:rsidR="00441970">
              <w:rPr>
                <w:rFonts w:eastAsiaTheme="minorEastAsia"/>
                <w:noProof/>
                <w:lang w:val="en-US"/>
              </w:rPr>
              <w:tab/>
            </w:r>
            <w:r w:rsidR="00441970" w:rsidRPr="00C27EB7">
              <w:rPr>
                <w:rStyle w:val="Hyperlink"/>
                <w:noProof/>
              </w:rPr>
              <w:t>Regulatory Framework</w:t>
            </w:r>
            <w:r w:rsidR="00441970">
              <w:rPr>
                <w:noProof/>
                <w:webHidden/>
              </w:rPr>
              <w:tab/>
            </w:r>
            <w:r w:rsidR="00441970">
              <w:rPr>
                <w:noProof/>
                <w:webHidden/>
              </w:rPr>
              <w:fldChar w:fldCharType="begin"/>
            </w:r>
            <w:r w:rsidR="00441970">
              <w:rPr>
                <w:noProof/>
                <w:webHidden/>
              </w:rPr>
              <w:instrText xml:space="preserve"> PAGEREF _Toc139016555 \h </w:instrText>
            </w:r>
            <w:r w:rsidR="00441970">
              <w:rPr>
                <w:noProof/>
                <w:webHidden/>
              </w:rPr>
            </w:r>
            <w:r w:rsidR="00441970">
              <w:rPr>
                <w:noProof/>
                <w:webHidden/>
              </w:rPr>
              <w:fldChar w:fldCharType="separate"/>
            </w:r>
            <w:r w:rsidR="00441970">
              <w:rPr>
                <w:noProof/>
                <w:webHidden/>
              </w:rPr>
              <w:t>5</w:t>
            </w:r>
            <w:r w:rsidR="00441970">
              <w:rPr>
                <w:noProof/>
                <w:webHidden/>
              </w:rPr>
              <w:fldChar w:fldCharType="end"/>
            </w:r>
          </w:hyperlink>
        </w:p>
        <w:p w14:paraId="3A51D281" w14:textId="619B05FA" w:rsidR="00441970" w:rsidRDefault="003A618F">
          <w:pPr>
            <w:pStyle w:val="TOC2"/>
            <w:rPr>
              <w:rFonts w:eastAsiaTheme="minorEastAsia"/>
              <w:noProof/>
              <w:lang w:val="en-US"/>
            </w:rPr>
          </w:pPr>
          <w:hyperlink w:anchor="_Toc139016556" w:history="1">
            <w:r w:rsidR="00441970" w:rsidRPr="00C27EB7">
              <w:rPr>
                <w:rStyle w:val="Hyperlink"/>
                <w:rFonts w:cstheme="minorHAnsi"/>
                <w:noProof/>
                <w:lang w:eastAsia="en-GB"/>
              </w:rPr>
              <w:t>1.4.</w:t>
            </w:r>
            <w:r w:rsidR="00441970">
              <w:rPr>
                <w:rFonts w:eastAsiaTheme="minorEastAsia"/>
                <w:noProof/>
                <w:lang w:val="en-US"/>
              </w:rPr>
              <w:tab/>
            </w:r>
            <w:r w:rsidR="00441970" w:rsidRPr="00C27EB7">
              <w:rPr>
                <w:rStyle w:val="Hyperlink"/>
                <w:noProof/>
                <w:lang w:eastAsia="en-GB"/>
              </w:rPr>
              <w:t>Declaration of the Board</w:t>
            </w:r>
            <w:r w:rsidR="00441970">
              <w:rPr>
                <w:noProof/>
                <w:webHidden/>
              </w:rPr>
              <w:tab/>
            </w:r>
            <w:r w:rsidR="00441970">
              <w:rPr>
                <w:noProof/>
                <w:webHidden/>
              </w:rPr>
              <w:fldChar w:fldCharType="begin"/>
            </w:r>
            <w:r w:rsidR="00441970">
              <w:rPr>
                <w:noProof/>
                <w:webHidden/>
              </w:rPr>
              <w:instrText xml:space="preserve"> PAGEREF _Toc139016556 \h </w:instrText>
            </w:r>
            <w:r w:rsidR="00441970">
              <w:rPr>
                <w:noProof/>
                <w:webHidden/>
              </w:rPr>
            </w:r>
            <w:r w:rsidR="00441970">
              <w:rPr>
                <w:noProof/>
                <w:webHidden/>
              </w:rPr>
              <w:fldChar w:fldCharType="separate"/>
            </w:r>
            <w:r w:rsidR="00441970">
              <w:rPr>
                <w:noProof/>
                <w:webHidden/>
              </w:rPr>
              <w:t>5</w:t>
            </w:r>
            <w:r w:rsidR="00441970">
              <w:rPr>
                <w:noProof/>
                <w:webHidden/>
              </w:rPr>
              <w:fldChar w:fldCharType="end"/>
            </w:r>
          </w:hyperlink>
        </w:p>
        <w:p w14:paraId="70058177" w14:textId="775CA407" w:rsidR="00441970" w:rsidRDefault="003A618F">
          <w:pPr>
            <w:pStyle w:val="TOC1"/>
            <w:rPr>
              <w:rFonts w:eastAsiaTheme="minorEastAsia"/>
              <w:noProof/>
              <w:lang w:val="en-US"/>
            </w:rPr>
          </w:pPr>
          <w:hyperlink w:anchor="_Toc139016557" w:history="1">
            <w:r w:rsidR="00441970" w:rsidRPr="00C27EB7">
              <w:rPr>
                <w:rStyle w:val="Hyperlink"/>
                <w:noProof/>
              </w:rPr>
              <w:t>2.</w:t>
            </w:r>
            <w:r w:rsidR="00441970">
              <w:rPr>
                <w:rFonts w:eastAsiaTheme="minorEastAsia"/>
                <w:noProof/>
                <w:lang w:val="en-US"/>
              </w:rPr>
              <w:tab/>
            </w:r>
            <w:r w:rsidR="00441970" w:rsidRPr="00C27EB7">
              <w:rPr>
                <w:rStyle w:val="Hyperlink"/>
                <w:noProof/>
              </w:rPr>
              <w:t>Risk Management Objectives and Policies</w:t>
            </w:r>
            <w:r w:rsidR="00441970">
              <w:rPr>
                <w:noProof/>
                <w:webHidden/>
              </w:rPr>
              <w:tab/>
            </w:r>
            <w:r w:rsidR="00441970">
              <w:rPr>
                <w:noProof/>
                <w:webHidden/>
              </w:rPr>
              <w:fldChar w:fldCharType="begin"/>
            </w:r>
            <w:r w:rsidR="00441970">
              <w:rPr>
                <w:noProof/>
                <w:webHidden/>
              </w:rPr>
              <w:instrText xml:space="preserve"> PAGEREF _Toc139016557 \h </w:instrText>
            </w:r>
            <w:r w:rsidR="00441970">
              <w:rPr>
                <w:noProof/>
                <w:webHidden/>
              </w:rPr>
            </w:r>
            <w:r w:rsidR="00441970">
              <w:rPr>
                <w:noProof/>
                <w:webHidden/>
              </w:rPr>
              <w:fldChar w:fldCharType="separate"/>
            </w:r>
            <w:r w:rsidR="00441970">
              <w:rPr>
                <w:noProof/>
                <w:webHidden/>
              </w:rPr>
              <w:t>6</w:t>
            </w:r>
            <w:r w:rsidR="00441970">
              <w:rPr>
                <w:noProof/>
                <w:webHidden/>
              </w:rPr>
              <w:fldChar w:fldCharType="end"/>
            </w:r>
          </w:hyperlink>
        </w:p>
        <w:p w14:paraId="1E44B3EF" w14:textId="0D7C7B62" w:rsidR="00441970" w:rsidRDefault="003A618F">
          <w:pPr>
            <w:pStyle w:val="TOC2"/>
            <w:rPr>
              <w:rFonts w:eastAsiaTheme="minorEastAsia"/>
              <w:noProof/>
              <w:lang w:val="en-US"/>
            </w:rPr>
          </w:pPr>
          <w:hyperlink w:anchor="_Toc139016558" w:history="1">
            <w:r w:rsidR="00441970" w:rsidRPr="00C27EB7">
              <w:rPr>
                <w:rStyle w:val="Hyperlink"/>
                <w:rFonts w:cstheme="minorHAnsi"/>
                <w:noProof/>
                <w:lang w:eastAsia="en-GB"/>
              </w:rPr>
              <w:t>2.1.</w:t>
            </w:r>
            <w:r w:rsidR="00441970">
              <w:rPr>
                <w:rFonts w:eastAsiaTheme="minorEastAsia"/>
                <w:noProof/>
                <w:lang w:val="en-US"/>
              </w:rPr>
              <w:tab/>
            </w:r>
            <w:r w:rsidR="00441970" w:rsidRPr="00C27EB7">
              <w:rPr>
                <w:rStyle w:val="Hyperlink"/>
                <w:noProof/>
                <w:lang w:eastAsia="en-GB"/>
              </w:rPr>
              <w:t>Risk Management Framework</w:t>
            </w:r>
            <w:r w:rsidR="00441970">
              <w:rPr>
                <w:noProof/>
                <w:webHidden/>
              </w:rPr>
              <w:tab/>
            </w:r>
            <w:r w:rsidR="00441970">
              <w:rPr>
                <w:noProof/>
                <w:webHidden/>
              </w:rPr>
              <w:fldChar w:fldCharType="begin"/>
            </w:r>
            <w:r w:rsidR="00441970">
              <w:rPr>
                <w:noProof/>
                <w:webHidden/>
              </w:rPr>
              <w:instrText xml:space="preserve"> PAGEREF _Toc139016558 \h </w:instrText>
            </w:r>
            <w:r w:rsidR="00441970">
              <w:rPr>
                <w:noProof/>
                <w:webHidden/>
              </w:rPr>
            </w:r>
            <w:r w:rsidR="00441970">
              <w:rPr>
                <w:noProof/>
                <w:webHidden/>
              </w:rPr>
              <w:fldChar w:fldCharType="separate"/>
            </w:r>
            <w:r w:rsidR="00441970">
              <w:rPr>
                <w:noProof/>
                <w:webHidden/>
              </w:rPr>
              <w:t>6</w:t>
            </w:r>
            <w:r w:rsidR="00441970">
              <w:rPr>
                <w:noProof/>
                <w:webHidden/>
              </w:rPr>
              <w:fldChar w:fldCharType="end"/>
            </w:r>
          </w:hyperlink>
        </w:p>
        <w:p w14:paraId="4CB79B7C" w14:textId="48D7B025" w:rsidR="00441970" w:rsidRDefault="003A618F">
          <w:pPr>
            <w:pStyle w:val="TOC2"/>
            <w:rPr>
              <w:rFonts w:eastAsiaTheme="minorEastAsia"/>
              <w:noProof/>
              <w:lang w:val="en-US"/>
            </w:rPr>
          </w:pPr>
          <w:hyperlink w:anchor="_Toc139016559" w:history="1">
            <w:r w:rsidR="00441970" w:rsidRPr="00C27EB7">
              <w:rPr>
                <w:rStyle w:val="Hyperlink"/>
                <w:rFonts w:cstheme="minorHAnsi"/>
                <w:noProof/>
              </w:rPr>
              <w:t>2.2.</w:t>
            </w:r>
            <w:r w:rsidR="00441970">
              <w:rPr>
                <w:rFonts w:eastAsiaTheme="minorEastAsia"/>
                <w:noProof/>
                <w:lang w:val="en-US"/>
              </w:rPr>
              <w:tab/>
            </w:r>
            <w:r w:rsidR="00441970" w:rsidRPr="00C27EB7">
              <w:rPr>
                <w:rStyle w:val="Hyperlink"/>
                <w:noProof/>
              </w:rPr>
              <w:t>Risk Statement</w:t>
            </w:r>
            <w:r w:rsidR="00441970">
              <w:rPr>
                <w:noProof/>
                <w:webHidden/>
              </w:rPr>
              <w:tab/>
            </w:r>
            <w:r w:rsidR="00441970">
              <w:rPr>
                <w:noProof/>
                <w:webHidden/>
              </w:rPr>
              <w:fldChar w:fldCharType="begin"/>
            </w:r>
            <w:r w:rsidR="00441970">
              <w:rPr>
                <w:noProof/>
                <w:webHidden/>
              </w:rPr>
              <w:instrText xml:space="preserve"> PAGEREF _Toc139016559 \h </w:instrText>
            </w:r>
            <w:r w:rsidR="00441970">
              <w:rPr>
                <w:noProof/>
                <w:webHidden/>
              </w:rPr>
            </w:r>
            <w:r w:rsidR="00441970">
              <w:rPr>
                <w:noProof/>
                <w:webHidden/>
              </w:rPr>
              <w:fldChar w:fldCharType="separate"/>
            </w:r>
            <w:r w:rsidR="00441970">
              <w:rPr>
                <w:noProof/>
                <w:webHidden/>
              </w:rPr>
              <w:t>6</w:t>
            </w:r>
            <w:r w:rsidR="00441970">
              <w:rPr>
                <w:noProof/>
                <w:webHidden/>
              </w:rPr>
              <w:fldChar w:fldCharType="end"/>
            </w:r>
          </w:hyperlink>
        </w:p>
        <w:p w14:paraId="3AD4BEB6" w14:textId="53CA97C1" w:rsidR="00441970" w:rsidRDefault="003A618F">
          <w:pPr>
            <w:pStyle w:val="TOC2"/>
            <w:rPr>
              <w:rFonts w:eastAsiaTheme="minorEastAsia"/>
              <w:noProof/>
              <w:lang w:val="en-US"/>
            </w:rPr>
          </w:pPr>
          <w:hyperlink w:anchor="_Toc139016560" w:history="1">
            <w:r w:rsidR="00441970" w:rsidRPr="00C27EB7">
              <w:rPr>
                <w:rStyle w:val="Hyperlink"/>
                <w:rFonts w:cstheme="minorHAnsi"/>
                <w:noProof/>
              </w:rPr>
              <w:t>2.3.</w:t>
            </w:r>
            <w:r w:rsidR="00441970">
              <w:rPr>
                <w:rFonts w:eastAsiaTheme="minorEastAsia"/>
                <w:noProof/>
                <w:lang w:val="en-US"/>
              </w:rPr>
              <w:tab/>
            </w:r>
            <w:r w:rsidR="00441970" w:rsidRPr="00C27EB7">
              <w:rPr>
                <w:rStyle w:val="Hyperlink"/>
                <w:noProof/>
              </w:rPr>
              <w:t>Material Risks</w:t>
            </w:r>
            <w:r w:rsidR="00441970">
              <w:rPr>
                <w:noProof/>
                <w:webHidden/>
              </w:rPr>
              <w:tab/>
            </w:r>
            <w:r w:rsidR="00441970">
              <w:rPr>
                <w:noProof/>
                <w:webHidden/>
              </w:rPr>
              <w:fldChar w:fldCharType="begin"/>
            </w:r>
            <w:r w:rsidR="00441970">
              <w:rPr>
                <w:noProof/>
                <w:webHidden/>
              </w:rPr>
              <w:instrText xml:space="preserve"> PAGEREF _Toc139016560 \h </w:instrText>
            </w:r>
            <w:r w:rsidR="00441970">
              <w:rPr>
                <w:noProof/>
                <w:webHidden/>
              </w:rPr>
            </w:r>
            <w:r w:rsidR="00441970">
              <w:rPr>
                <w:noProof/>
                <w:webHidden/>
              </w:rPr>
              <w:fldChar w:fldCharType="separate"/>
            </w:r>
            <w:r w:rsidR="00441970">
              <w:rPr>
                <w:noProof/>
                <w:webHidden/>
              </w:rPr>
              <w:t>7</w:t>
            </w:r>
            <w:r w:rsidR="00441970">
              <w:rPr>
                <w:noProof/>
                <w:webHidden/>
              </w:rPr>
              <w:fldChar w:fldCharType="end"/>
            </w:r>
          </w:hyperlink>
        </w:p>
        <w:p w14:paraId="0EA51DB8" w14:textId="21E29C83" w:rsidR="00441970" w:rsidRDefault="003A618F">
          <w:pPr>
            <w:pStyle w:val="TOC2"/>
            <w:rPr>
              <w:rFonts w:eastAsiaTheme="minorEastAsia"/>
              <w:noProof/>
              <w:lang w:val="en-US"/>
            </w:rPr>
          </w:pPr>
          <w:hyperlink w:anchor="_Toc139016561" w:history="1">
            <w:r w:rsidR="00441970" w:rsidRPr="00C27EB7">
              <w:rPr>
                <w:rStyle w:val="Hyperlink"/>
                <w:rFonts w:cstheme="minorHAnsi"/>
                <w:noProof/>
              </w:rPr>
              <w:t>2.3.1.</w:t>
            </w:r>
            <w:r w:rsidR="00441970">
              <w:rPr>
                <w:rFonts w:eastAsiaTheme="minorEastAsia"/>
                <w:noProof/>
                <w:lang w:val="en-US"/>
              </w:rPr>
              <w:tab/>
            </w:r>
            <w:r w:rsidR="00441970" w:rsidRPr="00C27EB7">
              <w:rPr>
                <w:rStyle w:val="Hyperlink"/>
                <w:noProof/>
              </w:rPr>
              <w:t>Outsourcing Risk</w:t>
            </w:r>
            <w:r w:rsidR="00441970">
              <w:rPr>
                <w:noProof/>
                <w:webHidden/>
              </w:rPr>
              <w:tab/>
            </w:r>
            <w:r w:rsidR="00441970">
              <w:rPr>
                <w:noProof/>
                <w:webHidden/>
              </w:rPr>
              <w:fldChar w:fldCharType="begin"/>
            </w:r>
            <w:r w:rsidR="00441970">
              <w:rPr>
                <w:noProof/>
                <w:webHidden/>
              </w:rPr>
              <w:instrText xml:space="preserve"> PAGEREF _Toc139016561 \h </w:instrText>
            </w:r>
            <w:r w:rsidR="00441970">
              <w:rPr>
                <w:noProof/>
                <w:webHidden/>
              </w:rPr>
            </w:r>
            <w:r w:rsidR="00441970">
              <w:rPr>
                <w:noProof/>
                <w:webHidden/>
              </w:rPr>
              <w:fldChar w:fldCharType="separate"/>
            </w:r>
            <w:r w:rsidR="00441970">
              <w:rPr>
                <w:noProof/>
                <w:webHidden/>
              </w:rPr>
              <w:t>8</w:t>
            </w:r>
            <w:r w:rsidR="00441970">
              <w:rPr>
                <w:noProof/>
                <w:webHidden/>
              </w:rPr>
              <w:fldChar w:fldCharType="end"/>
            </w:r>
          </w:hyperlink>
        </w:p>
        <w:p w14:paraId="6F71C7E6" w14:textId="68721187" w:rsidR="00441970" w:rsidRDefault="003A618F">
          <w:pPr>
            <w:pStyle w:val="TOC2"/>
            <w:rPr>
              <w:rFonts w:eastAsiaTheme="minorEastAsia"/>
              <w:noProof/>
              <w:lang w:val="en-US"/>
            </w:rPr>
          </w:pPr>
          <w:hyperlink w:anchor="_Toc139016562" w:history="1">
            <w:r w:rsidR="00441970" w:rsidRPr="00C27EB7">
              <w:rPr>
                <w:rStyle w:val="Hyperlink"/>
                <w:rFonts w:cstheme="minorHAnsi"/>
                <w:noProof/>
              </w:rPr>
              <w:t>2.3.2.</w:t>
            </w:r>
            <w:r w:rsidR="00441970">
              <w:rPr>
                <w:rFonts w:eastAsiaTheme="minorEastAsia"/>
                <w:noProof/>
                <w:lang w:val="en-US"/>
              </w:rPr>
              <w:tab/>
            </w:r>
            <w:r w:rsidR="00441970" w:rsidRPr="00C27EB7">
              <w:rPr>
                <w:rStyle w:val="Hyperlink"/>
                <w:noProof/>
              </w:rPr>
              <w:t>Market Risk</w:t>
            </w:r>
            <w:r w:rsidR="00441970">
              <w:rPr>
                <w:noProof/>
                <w:webHidden/>
              </w:rPr>
              <w:tab/>
            </w:r>
            <w:r w:rsidR="00441970">
              <w:rPr>
                <w:noProof/>
                <w:webHidden/>
              </w:rPr>
              <w:fldChar w:fldCharType="begin"/>
            </w:r>
            <w:r w:rsidR="00441970">
              <w:rPr>
                <w:noProof/>
                <w:webHidden/>
              </w:rPr>
              <w:instrText xml:space="preserve"> PAGEREF _Toc139016562 \h </w:instrText>
            </w:r>
            <w:r w:rsidR="00441970">
              <w:rPr>
                <w:noProof/>
                <w:webHidden/>
              </w:rPr>
            </w:r>
            <w:r w:rsidR="00441970">
              <w:rPr>
                <w:noProof/>
                <w:webHidden/>
              </w:rPr>
              <w:fldChar w:fldCharType="separate"/>
            </w:r>
            <w:r w:rsidR="00441970">
              <w:rPr>
                <w:noProof/>
                <w:webHidden/>
              </w:rPr>
              <w:t>10</w:t>
            </w:r>
            <w:r w:rsidR="00441970">
              <w:rPr>
                <w:noProof/>
                <w:webHidden/>
              </w:rPr>
              <w:fldChar w:fldCharType="end"/>
            </w:r>
          </w:hyperlink>
        </w:p>
        <w:p w14:paraId="7B0EBB43" w14:textId="4D57B2AE" w:rsidR="00441970" w:rsidRDefault="003A618F">
          <w:pPr>
            <w:pStyle w:val="TOC2"/>
            <w:rPr>
              <w:rFonts w:eastAsiaTheme="minorEastAsia"/>
              <w:noProof/>
              <w:lang w:val="en-US"/>
            </w:rPr>
          </w:pPr>
          <w:hyperlink w:anchor="_Toc139016563" w:history="1">
            <w:r w:rsidR="00441970" w:rsidRPr="00C27EB7">
              <w:rPr>
                <w:rStyle w:val="Hyperlink"/>
                <w:rFonts w:cstheme="minorHAnsi"/>
                <w:noProof/>
              </w:rPr>
              <w:t>2.3.3.</w:t>
            </w:r>
            <w:r w:rsidR="00441970">
              <w:rPr>
                <w:rFonts w:eastAsiaTheme="minorEastAsia"/>
                <w:noProof/>
                <w:lang w:val="en-US"/>
              </w:rPr>
              <w:tab/>
            </w:r>
            <w:r w:rsidR="00441970" w:rsidRPr="00C27EB7">
              <w:rPr>
                <w:rStyle w:val="Hyperlink"/>
                <w:noProof/>
              </w:rPr>
              <w:t>Investment Risk</w:t>
            </w:r>
            <w:r w:rsidR="00441970">
              <w:rPr>
                <w:noProof/>
                <w:webHidden/>
              </w:rPr>
              <w:tab/>
            </w:r>
            <w:r w:rsidR="00441970">
              <w:rPr>
                <w:noProof/>
                <w:webHidden/>
              </w:rPr>
              <w:fldChar w:fldCharType="begin"/>
            </w:r>
            <w:r w:rsidR="00441970">
              <w:rPr>
                <w:noProof/>
                <w:webHidden/>
              </w:rPr>
              <w:instrText xml:space="preserve"> PAGEREF _Toc139016563 \h </w:instrText>
            </w:r>
            <w:r w:rsidR="00441970">
              <w:rPr>
                <w:noProof/>
                <w:webHidden/>
              </w:rPr>
            </w:r>
            <w:r w:rsidR="00441970">
              <w:rPr>
                <w:noProof/>
                <w:webHidden/>
              </w:rPr>
              <w:fldChar w:fldCharType="separate"/>
            </w:r>
            <w:r w:rsidR="00441970">
              <w:rPr>
                <w:noProof/>
                <w:webHidden/>
              </w:rPr>
              <w:t>11</w:t>
            </w:r>
            <w:r w:rsidR="00441970">
              <w:rPr>
                <w:noProof/>
                <w:webHidden/>
              </w:rPr>
              <w:fldChar w:fldCharType="end"/>
            </w:r>
          </w:hyperlink>
        </w:p>
        <w:p w14:paraId="7F32EB27" w14:textId="5E78B3AA" w:rsidR="00441970" w:rsidRDefault="003A618F">
          <w:pPr>
            <w:pStyle w:val="TOC2"/>
            <w:rPr>
              <w:rFonts w:eastAsiaTheme="minorEastAsia"/>
              <w:noProof/>
              <w:lang w:val="en-US"/>
            </w:rPr>
          </w:pPr>
          <w:hyperlink w:anchor="_Toc139016564" w:history="1">
            <w:r w:rsidR="00441970" w:rsidRPr="00C27EB7">
              <w:rPr>
                <w:rStyle w:val="Hyperlink"/>
                <w:rFonts w:cstheme="minorHAnsi"/>
                <w:noProof/>
              </w:rPr>
              <w:t>2.3.4.</w:t>
            </w:r>
            <w:r w:rsidR="00441970">
              <w:rPr>
                <w:rFonts w:eastAsiaTheme="minorEastAsia"/>
                <w:noProof/>
                <w:lang w:val="en-US"/>
              </w:rPr>
              <w:tab/>
            </w:r>
            <w:r w:rsidR="00441970" w:rsidRPr="00C27EB7">
              <w:rPr>
                <w:rStyle w:val="Hyperlink"/>
                <w:noProof/>
              </w:rPr>
              <w:t>Reputational Risk</w:t>
            </w:r>
            <w:r w:rsidR="00441970">
              <w:rPr>
                <w:noProof/>
                <w:webHidden/>
              </w:rPr>
              <w:tab/>
            </w:r>
            <w:r w:rsidR="00441970">
              <w:rPr>
                <w:noProof/>
                <w:webHidden/>
              </w:rPr>
              <w:fldChar w:fldCharType="begin"/>
            </w:r>
            <w:r w:rsidR="00441970">
              <w:rPr>
                <w:noProof/>
                <w:webHidden/>
              </w:rPr>
              <w:instrText xml:space="preserve"> PAGEREF _Toc139016564 \h </w:instrText>
            </w:r>
            <w:r w:rsidR="00441970">
              <w:rPr>
                <w:noProof/>
                <w:webHidden/>
              </w:rPr>
            </w:r>
            <w:r w:rsidR="00441970">
              <w:rPr>
                <w:noProof/>
                <w:webHidden/>
              </w:rPr>
              <w:fldChar w:fldCharType="separate"/>
            </w:r>
            <w:r w:rsidR="00441970">
              <w:rPr>
                <w:noProof/>
                <w:webHidden/>
              </w:rPr>
              <w:t>11</w:t>
            </w:r>
            <w:r w:rsidR="00441970">
              <w:rPr>
                <w:noProof/>
                <w:webHidden/>
              </w:rPr>
              <w:fldChar w:fldCharType="end"/>
            </w:r>
          </w:hyperlink>
        </w:p>
        <w:p w14:paraId="5F743412" w14:textId="0255F94F" w:rsidR="00441970" w:rsidRDefault="003A618F">
          <w:pPr>
            <w:pStyle w:val="TOC2"/>
            <w:rPr>
              <w:rFonts w:eastAsiaTheme="minorEastAsia"/>
              <w:noProof/>
              <w:lang w:val="en-US"/>
            </w:rPr>
          </w:pPr>
          <w:hyperlink w:anchor="_Toc139016565" w:history="1">
            <w:r w:rsidR="00441970" w:rsidRPr="00C27EB7">
              <w:rPr>
                <w:rStyle w:val="Hyperlink"/>
                <w:rFonts w:cstheme="minorHAnsi"/>
                <w:noProof/>
              </w:rPr>
              <w:t>2.3.5.</w:t>
            </w:r>
            <w:r w:rsidR="00441970">
              <w:rPr>
                <w:rFonts w:eastAsiaTheme="minorEastAsia"/>
                <w:noProof/>
                <w:lang w:val="en-US"/>
              </w:rPr>
              <w:tab/>
            </w:r>
            <w:r w:rsidR="00441970" w:rsidRPr="00C27EB7">
              <w:rPr>
                <w:rStyle w:val="Hyperlink"/>
                <w:noProof/>
              </w:rPr>
              <w:t>Operational Risk</w:t>
            </w:r>
            <w:r w:rsidR="00441970">
              <w:rPr>
                <w:noProof/>
                <w:webHidden/>
              </w:rPr>
              <w:tab/>
            </w:r>
            <w:r w:rsidR="00441970">
              <w:rPr>
                <w:noProof/>
                <w:webHidden/>
              </w:rPr>
              <w:fldChar w:fldCharType="begin"/>
            </w:r>
            <w:r w:rsidR="00441970">
              <w:rPr>
                <w:noProof/>
                <w:webHidden/>
              </w:rPr>
              <w:instrText xml:space="preserve"> PAGEREF _Toc139016565 \h </w:instrText>
            </w:r>
            <w:r w:rsidR="00441970">
              <w:rPr>
                <w:noProof/>
                <w:webHidden/>
              </w:rPr>
            </w:r>
            <w:r w:rsidR="00441970">
              <w:rPr>
                <w:noProof/>
                <w:webHidden/>
              </w:rPr>
              <w:fldChar w:fldCharType="separate"/>
            </w:r>
            <w:r w:rsidR="00441970">
              <w:rPr>
                <w:noProof/>
                <w:webHidden/>
              </w:rPr>
              <w:t>12</w:t>
            </w:r>
            <w:r w:rsidR="00441970">
              <w:rPr>
                <w:noProof/>
                <w:webHidden/>
              </w:rPr>
              <w:fldChar w:fldCharType="end"/>
            </w:r>
          </w:hyperlink>
        </w:p>
        <w:p w14:paraId="07FE8EF4" w14:textId="00FB58A8" w:rsidR="00441970" w:rsidRDefault="003A618F">
          <w:pPr>
            <w:pStyle w:val="TOC2"/>
            <w:rPr>
              <w:rFonts w:eastAsiaTheme="minorEastAsia"/>
              <w:noProof/>
              <w:lang w:val="en-US"/>
            </w:rPr>
          </w:pPr>
          <w:hyperlink w:anchor="_Toc139016566" w:history="1">
            <w:r w:rsidR="00441970" w:rsidRPr="00C27EB7">
              <w:rPr>
                <w:rStyle w:val="Hyperlink"/>
                <w:rFonts w:cstheme="minorHAnsi"/>
                <w:noProof/>
              </w:rPr>
              <w:t>2.3.6.</w:t>
            </w:r>
            <w:r w:rsidR="00441970">
              <w:rPr>
                <w:rFonts w:eastAsiaTheme="minorEastAsia"/>
                <w:noProof/>
                <w:lang w:val="en-US"/>
              </w:rPr>
              <w:tab/>
            </w:r>
            <w:r w:rsidR="00441970" w:rsidRPr="00C27EB7">
              <w:rPr>
                <w:rStyle w:val="Hyperlink"/>
                <w:noProof/>
              </w:rPr>
              <w:t>Information Technology / Cyber Security Risk</w:t>
            </w:r>
            <w:r w:rsidR="00441970">
              <w:rPr>
                <w:noProof/>
                <w:webHidden/>
              </w:rPr>
              <w:tab/>
            </w:r>
            <w:r w:rsidR="00441970">
              <w:rPr>
                <w:noProof/>
                <w:webHidden/>
              </w:rPr>
              <w:fldChar w:fldCharType="begin"/>
            </w:r>
            <w:r w:rsidR="00441970">
              <w:rPr>
                <w:noProof/>
                <w:webHidden/>
              </w:rPr>
              <w:instrText xml:space="preserve"> PAGEREF _Toc139016566 \h </w:instrText>
            </w:r>
            <w:r w:rsidR="00441970">
              <w:rPr>
                <w:noProof/>
                <w:webHidden/>
              </w:rPr>
            </w:r>
            <w:r w:rsidR="00441970">
              <w:rPr>
                <w:noProof/>
                <w:webHidden/>
              </w:rPr>
              <w:fldChar w:fldCharType="separate"/>
            </w:r>
            <w:r w:rsidR="00441970">
              <w:rPr>
                <w:noProof/>
                <w:webHidden/>
              </w:rPr>
              <w:t>13</w:t>
            </w:r>
            <w:r w:rsidR="00441970">
              <w:rPr>
                <w:noProof/>
                <w:webHidden/>
              </w:rPr>
              <w:fldChar w:fldCharType="end"/>
            </w:r>
          </w:hyperlink>
        </w:p>
        <w:p w14:paraId="4BBED625" w14:textId="534B9B65" w:rsidR="00441970" w:rsidRDefault="003A618F">
          <w:pPr>
            <w:pStyle w:val="TOC1"/>
            <w:rPr>
              <w:rFonts w:eastAsiaTheme="minorEastAsia"/>
              <w:noProof/>
              <w:lang w:val="en-US"/>
            </w:rPr>
          </w:pPr>
          <w:hyperlink w:anchor="_Toc139016567" w:history="1">
            <w:r w:rsidR="00441970" w:rsidRPr="00C27EB7">
              <w:rPr>
                <w:rStyle w:val="Hyperlink"/>
                <w:noProof/>
              </w:rPr>
              <w:t>3.</w:t>
            </w:r>
            <w:r w:rsidR="00441970">
              <w:rPr>
                <w:rFonts w:eastAsiaTheme="minorEastAsia"/>
                <w:noProof/>
                <w:lang w:val="en-US"/>
              </w:rPr>
              <w:tab/>
            </w:r>
            <w:r w:rsidR="00441970" w:rsidRPr="00C27EB7">
              <w:rPr>
                <w:rStyle w:val="Hyperlink"/>
                <w:noProof/>
              </w:rPr>
              <w:t>Governance Arrangements</w:t>
            </w:r>
            <w:r w:rsidR="00441970">
              <w:rPr>
                <w:noProof/>
                <w:webHidden/>
              </w:rPr>
              <w:tab/>
            </w:r>
            <w:r w:rsidR="00441970">
              <w:rPr>
                <w:noProof/>
                <w:webHidden/>
              </w:rPr>
              <w:fldChar w:fldCharType="begin"/>
            </w:r>
            <w:r w:rsidR="00441970">
              <w:rPr>
                <w:noProof/>
                <w:webHidden/>
              </w:rPr>
              <w:instrText xml:space="preserve"> PAGEREF _Toc139016567 \h </w:instrText>
            </w:r>
            <w:r w:rsidR="00441970">
              <w:rPr>
                <w:noProof/>
                <w:webHidden/>
              </w:rPr>
            </w:r>
            <w:r w:rsidR="00441970">
              <w:rPr>
                <w:noProof/>
                <w:webHidden/>
              </w:rPr>
              <w:fldChar w:fldCharType="separate"/>
            </w:r>
            <w:r w:rsidR="00441970">
              <w:rPr>
                <w:noProof/>
                <w:webHidden/>
              </w:rPr>
              <w:t>14</w:t>
            </w:r>
            <w:r w:rsidR="00441970">
              <w:rPr>
                <w:noProof/>
                <w:webHidden/>
              </w:rPr>
              <w:fldChar w:fldCharType="end"/>
            </w:r>
          </w:hyperlink>
        </w:p>
        <w:p w14:paraId="732A296C" w14:textId="00AB0682" w:rsidR="00441970" w:rsidRDefault="003A618F">
          <w:pPr>
            <w:pStyle w:val="TOC2"/>
            <w:rPr>
              <w:rFonts w:eastAsiaTheme="minorEastAsia"/>
              <w:noProof/>
              <w:lang w:val="en-US"/>
            </w:rPr>
          </w:pPr>
          <w:hyperlink w:anchor="_Toc139016568" w:history="1">
            <w:r w:rsidR="00441970" w:rsidRPr="00C27EB7">
              <w:rPr>
                <w:rStyle w:val="Hyperlink"/>
                <w:rFonts w:cstheme="minorHAnsi"/>
                <w:noProof/>
              </w:rPr>
              <w:t>3.1.</w:t>
            </w:r>
            <w:r w:rsidR="00441970">
              <w:rPr>
                <w:rFonts w:eastAsiaTheme="minorEastAsia"/>
                <w:noProof/>
                <w:lang w:val="en-US"/>
              </w:rPr>
              <w:tab/>
            </w:r>
            <w:r w:rsidR="00441970" w:rsidRPr="00C27EB7">
              <w:rPr>
                <w:rStyle w:val="Hyperlink"/>
                <w:noProof/>
              </w:rPr>
              <w:t>Organisational Structure</w:t>
            </w:r>
            <w:r w:rsidR="00441970">
              <w:rPr>
                <w:noProof/>
                <w:webHidden/>
              </w:rPr>
              <w:tab/>
            </w:r>
            <w:r w:rsidR="00441970">
              <w:rPr>
                <w:noProof/>
                <w:webHidden/>
              </w:rPr>
              <w:fldChar w:fldCharType="begin"/>
            </w:r>
            <w:r w:rsidR="00441970">
              <w:rPr>
                <w:noProof/>
                <w:webHidden/>
              </w:rPr>
              <w:instrText xml:space="preserve"> PAGEREF _Toc139016568 \h </w:instrText>
            </w:r>
            <w:r w:rsidR="00441970">
              <w:rPr>
                <w:noProof/>
                <w:webHidden/>
              </w:rPr>
            </w:r>
            <w:r w:rsidR="00441970">
              <w:rPr>
                <w:noProof/>
                <w:webHidden/>
              </w:rPr>
              <w:fldChar w:fldCharType="separate"/>
            </w:r>
            <w:r w:rsidR="00441970">
              <w:rPr>
                <w:noProof/>
                <w:webHidden/>
              </w:rPr>
              <w:t>14</w:t>
            </w:r>
            <w:r w:rsidR="00441970">
              <w:rPr>
                <w:noProof/>
                <w:webHidden/>
              </w:rPr>
              <w:fldChar w:fldCharType="end"/>
            </w:r>
          </w:hyperlink>
        </w:p>
        <w:p w14:paraId="33840839" w14:textId="279BD4C6" w:rsidR="00441970" w:rsidRDefault="003A618F">
          <w:pPr>
            <w:pStyle w:val="TOC2"/>
            <w:rPr>
              <w:rFonts w:eastAsiaTheme="minorEastAsia"/>
              <w:noProof/>
              <w:lang w:val="en-US"/>
            </w:rPr>
          </w:pPr>
          <w:hyperlink w:anchor="_Toc139016569" w:history="1">
            <w:r w:rsidR="00441970" w:rsidRPr="00C27EB7">
              <w:rPr>
                <w:rStyle w:val="Hyperlink"/>
                <w:rFonts w:cstheme="minorHAnsi"/>
                <w:noProof/>
              </w:rPr>
              <w:t>3.2.</w:t>
            </w:r>
            <w:r w:rsidR="00441970">
              <w:rPr>
                <w:rFonts w:eastAsiaTheme="minorEastAsia"/>
                <w:noProof/>
                <w:lang w:val="en-US"/>
              </w:rPr>
              <w:tab/>
            </w:r>
            <w:r w:rsidR="00441970" w:rsidRPr="00C27EB7">
              <w:rPr>
                <w:rStyle w:val="Hyperlink"/>
                <w:noProof/>
              </w:rPr>
              <w:t>Board of Directors</w:t>
            </w:r>
            <w:r w:rsidR="00441970">
              <w:rPr>
                <w:noProof/>
                <w:webHidden/>
              </w:rPr>
              <w:tab/>
            </w:r>
            <w:r w:rsidR="00441970">
              <w:rPr>
                <w:noProof/>
                <w:webHidden/>
              </w:rPr>
              <w:fldChar w:fldCharType="begin"/>
            </w:r>
            <w:r w:rsidR="00441970">
              <w:rPr>
                <w:noProof/>
                <w:webHidden/>
              </w:rPr>
              <w:instrText xml:space="preserve"> PAGEREF _Toc139016569 \h </w:instrText>
            </w:r>
            <w:r w:rsidR="00441970">
              <w:rPr>
                <w:noProof/>
                <w:webHidden/>
              </w:rPr>
            </w:r>
            <w:r w:rsidR="00441970">
              <w:rPr>
                <w:noProof/>
                <w:webHidden/>
              </w:rPr>
              <w:fldChar w:fldCharType="separate"/>
            </w:r>
            <w:r w:rsidR="00441970">
              <w:rPr>
                <w:noProof/>
                <w:webHidden/>
              </w:rPr>
              <w:t>14</w:t>
            </w:r>
            <w:r w:rsidR="00441970">
              <w:rPr>
                <w:noProof/>
                <w:webHidden/>
              </w:rPr>
              <w:fldChar w:fldCharType="end"/>
            </w:r>
          </w:hyperlink>
        </w:p>
        <w:p w14:paraId="6B3C5370" w14:textId="3C2D2E72" w:rsidR="00441970" w:rsidRDefault="003A618F">
          <w:pPr>
            <w:pStyle w:val="TOC2"/>
            <w:rPr>
              <w:rFonts w:eastAsiaTheme="minorEastAsia"/>
              <w:noProof/>
              <w:lang w:val="en-US"/>
            </w:rPr>
          </w:pPr>
          <w:hyperlink w:anchor="_Toc139016570" w:history="1">
            <w:r w:rsidR="00441970" w:rsidRPr="00C27EB7">
              <w:rPr>
                <w:rStyle w:val="Hyperlink"/>
                <w:rFonts w:cstheme="minorHAnsi"/>
                <w:noProof/>
              </w:rPr>
              <w:t>3.3.</w:t>
            </w:r>
            <w:r w:rsidR="00441970">
              <w:rPr>
                <w:rFonts w:eastAsiaTheme="minorEastAsia"/>
                <w:noProof/>
                <w:lang w:val="en-US"/>
              </w:rPr>
              <w:tab/>
            </w:r>
            <w:r w:rsidR="00441970" w:rsidRPr="00C27EB7">
              <w:rPr>
                <w:rStyle w:val="Hyperlink"/>
                <w:rFonts w:cstheme="minorHAnsi"/>
                <w:noProof/>
              </w:rPr>
              <w:t>Committees</w:t>
            </w:r>
            <w:r w:rsidR="00441970">
              <w:rPr>
                <w:noProof/>
                <w:webHidden/>
              </w:rPr>
              <w:tab/>
            </w:r>
            <w:r w:rsidR="00441970">
              <w:rPr>
                <w:noProof/>
                <w:webHidden/>
              </w:rPr>
              <w:fldChar w:fldCharType="begin"/>
            </w:r>
            <w:r w:rsidR="00441970">
              <w:rPr>
                <w:noProof/>
                <w:webHidden/>
              </w:rPr>
              <w:instrText xml:space="preserve"> PAGEREF _Toc139016570 \h </w:instrText>
            </w:r>
            <w:r w:rsidR="00441970">
              <w:rPr>
                <w:noProof/>
                <w:webHidden/>
              </w:rPr>
            </w:r>
            <w:r w:rsidR="00441970">
              <w:rPr>
                <w:noProof/>
                <w:webHidden/>
              </w:rPr>
              <w:fldChar w:fldCharType="separate"/>
            </w:r>
            <w:r w:rsidR="00441970">
              <w:rPr>
                <w:noProof/>
                <w:webHidden/>
              </w:rPr>
              <w:t>15</w:t>
            </w:r>
            <w:r w:rsidR="00441970">
              <w:rPr>
                <w:noProof/>
                <w:webHidden/>
              </w:rPr>
              <w:fldChar w:fldCharType="end"/>
            </w:r>
          </w:hyperlink>
        </w:p>
        <w:p w14:paraId="0459DCA3" w14:textId="6A7CB4C4" w:rsidR="00441970" w:rsidRDefault="003A618F">
          <w:pPr>
            <w:pStyle w:val="TOC2"/>
            <w:rPr>
              <w:rFonts w:eastAsiaTheme="minorEastAsia"/>
              <w:noProof/>
              <w:lang w:val="en-US"/>
            </w:rPr>
          </w:pPr>
          <w:hyperlink w:anchor="_Toc139016571" w:history="1">
            <w:r w:rsidR="00441970" w:rsidRPr="00C27EB7">
              <w:rPr>
                <w:rStyle w:val="Hyperlink"/>
                <w:rFonts w:cstheme="minorHAnsi"/>
                <w:noProof/>
              </w:rPr>
              <w:t>3.4.</w:t>
            </w:r>
            <w:r w:rsidR="00441970">
              <w:rPr>
                <w:rFonts w:eastAsiaTheme="minorEastAsia"/>
                <w:noProof/>
                <w:lang w:val="en-US"/>
              </w:rPr>
              <w:tab/>
            </w:r>
            <w:r w:rsidR="00441970" w:rsidRPr="00C27EB7">
              <w:rPr>
                <w:rStyle w:val="Hyperlink"/>
                <w:rFonts w:cstheme="minorHAnsi"/>
                <w:noProof/>
              </w:rPr>
              <w:t>Policy on recruitment</w:t>
            </w:r>
            <w:r w:rsidR="00441970">
              <w:rPr>
                <w:noProof/>
                <w:webHidden/>
              </w:rPr>
              <w:tab/>
            </w:r>
            <w:r w:rsidR="00441970">
              <w:rPr>
                <w:noProof/>
                <w:webHidden/>
              </w:rPr>
              <w:fldChar w:fldCharType="begin"/>
            </w:r>
            <w:r w:rsidR="00441970">
              <w:rPr>
                <w:noProof/>
                <w:webHidden/>
              </w:rPr>
              <w:instrText xml:space="preserve"> PAGEREF _Toc139016571 \h </w:instrText>
            </w:r>
            <w:r w:rsidR="00441970">
              <w:rPr>
                <w:noProof/>
                <w:webHidden/>
              </w:rPr>
            </w:r>
            <w:r w:rsidR="00441970">
              <w:rPr>
                <w:noProof/>
                <w:webHidden/>
              </w:rPr>
              <w:fldChar w:fldCharType="separate"/>
            </w:r>
            <w:r w:rsidR="00441970">
              <w:rPr>
                <w:noProof/>
                <w:webHidden/>
              </w:rPr>
              <w:t>18</w:t>
            </w:r>
            <w:r w:rsidR="00441970">
              <w:rPr>
                <w:noProof/>
                <w:webHidden/>
              </w:rPr>
              <w:fldChar w:fldCharType="end"/>
            </w:r>
          </w:hyperlink>
        </w:p>
        <w:p w14:paraId="067210E4" w14:textId="07095CDA" w:rsidR="00441970" w:rsidRDefault="003A618F">
          <w:pPr>
            <w:pStyle w:val="TOC2"/>
            <w:rPr>
              <w:rFonts w:eastAsiaTheme="minorEastAsia"/>
              <w:noProof/>
              <w:lang w:val="en-US"/>
            </w:rPr>
          </w:pPr>
          <w:hyperlink w:anchor="_Toc139016572" w:history="1">
            <w:r w:rsidR="00441970" w:rsidRPr="00C27EB7">
              <w:rPr>
                <w:rStyle w:val="Hyperlink"/>
                <w:rFonts w:cstheme="minorHAnsi"/>
                <w:noProof/>
                <w:lang w:eastAsia="en-GB"/>
              </w:rPr>
              <w:t>3.5.</w:t>
            </w:r>
            <w:r w:rsidR="00441970">
              <w:rPr>
                <w:rFonts w:eastAsiaTheme="minorEastAsia"/>
                <w:noProof/>
                <w:lang w:val="en-US"/>
              </w:rPr>
              <w:tab/>
            </w:r>
            <w:r w:rsidR="00441970" w:rsidRPr="00C27EB7">
              <w:rPr>
                <w:rStyle w:val="Hyperlink"/>
                <w:noProof/>
                <w:lang w:eastAsia="en-GB"/>
              </w:rPr>
              <w:t>Directorships</w:t>
            </w:r>
            <w:r w:rsidR="00441970">
              <w:rPr>
                <w:noProof/>
                <w:webHidden/>
              </w:rPr>
              <w:tab/>
            </w:r>
            <w:r w:rsidR="00441970">
              <w:rPr>
                <w:noProof/>
                <w:webHidden/>
              </w:rPr>
              <w:fldChar w:fldCharType="begin"/>
            </w:r>
            <w:r w:rsidR="00441970">
              <w:rPr>
                <w:noProof/>
                <w:webHidden/>
              </w:rPr>
              <w:instrText xml:space="preserve"> PAGEREF _Toc139016572 \h </w:instrText>
            </w:r>
            <w:r w:rsidR="00441970">
              <w:rPr>
                <w:noProof/>
                <w:webHidden/>
              </w:rPr>
            </w:r>
            <w:r w:rsidR="00441970">
              <w:rPr>
                <w:noProof/>
                <w:webHidden/>
              </w:rPr>
              <w:fldChar w:fldCharType="separate"/>
            </w:r>
            <w:r w:rsidR="00441970">
              <w:rPr>
                <w:noProof/>
                <w:webHidden/>
              </w:rPr>
              <w:t>19</w:t>
            </w:r>
            <w:r w:rsidR="00441970">
              <w:rPr>
                <w:noProof/>
                <w:webHidden/>
              </w:rPr>
              <w:fldChar w:fldCharType="end"/>
            </w:r>
          </w:hyperlink>
        </w:p>
        <w:p w14:paraId="60FEACBB" w14:textId="7E184ADF" w:rsidR="00441970" w:rsidRDefault="003A618F">
          <w:pPr>
            <w:pStyle w:val="TOC2"/>
            <w:rPr>
              <w:rFonts w:eastAsiaTheme="minorEastAsia"/>
              <w:noProof/>
              <w:lang w:val="en-US"/>
            </w:rPr>
          </w:pPr>
          <w:hyperlink w:anchor="_Toc139016573" w:history="1">
            <w:r w:rsidR="00441970" w:rsidRPr="00C27EB7">
              <w:rPr>
                <w:rStyle w:val="Hyperlink"/>
                <w:rFonts w:cstheme="minorHAnsi"/>
                <w:noProof/>
                <w:lang w:eastAsia="en-GB"/>
              </w:rPr>
              <w:t>3.6.</w:t>
            </w:r>
            <w:r w:rsidR="00441970">
              <w:rPr>
                <w:rFonts w:eastAsiaTheme="minorEastAsia"/>
                <w:noProof/>
                <w:lang w:val="en-US"/>
              </w:rPr>
              <w:tab/>
            </w:r>
            <w:r w:rsidR="00441970" w:rsidRPr="00C27EB7">
              <w:rPr>
                <w:rStyle w:val="Hyperlink"/>
                <w:noProof/>
                <w:lang w:eastAsia="en-GB"/>
              </w:rPr>
              <w:t>Policy on Diversity</w:t>
            </w:r>
            <w:r w:rsidR="00441970">
              <w:rPr>
                <w:noProof/>
                <w:webHidden/>
              </w:rPr>
              <w:tab/>
            </w:r>
            <w:r w:rsidR="00441970">
              <w:rPr>
                <w:noProof/>
                <w:webHidden/>
              </w:rPr>
              <w:fldChar w:fldCharType="begin"/>
            </w:r>
            <w:r w:rsidR="00441970">
              <w:rPr>
                <w:noProof/>
                <w:webHidden/>
              </w:rPr>
              <w:instrText xml:space="preserve"> PAGEREF _Toc139016573 \h </w:instrText>
            </w:r>
            <w:r w:rsidR="00441970">
              <w:rPr>
                <w:noProof/>
                <w:webHidden/>
              </w:rPr>
            </w:r>
            <w:r w:rsidR="00441970">
              <w:rPr>
                <w:noProof/>
                <w:webHidden/>
              </w:rPr>
              <w:fldChar w:fldCharType="separate"/>
            </w:r>
            <w:r w:rsidR="00441970">
              <w:rPr>
                <w:noProof/>
                <w:webHidden/>
              </w:rPr>
              <w:t>19</w:t>
            </w:r>
            <w:r w:rsidR="00441970">
              <w:rPr>
                <w:noProof/>
                <w:webHidden/>
              </w:rPr>
              <w:fldChar w:fldCharType="end"/>
            </w:r>
          </w:hyperlink>
        </w:p>
        <w:p w14:paraId="25355ABA" w14:textId="0C1A1605" w:rsidR="00441970" w:rsidRDefault="003A618F">
          <w:pPr>
            <w:pStyle w:val="TOC1"/>
            <w:rPr>
              <w:rFonts w:eastAsiaTheme="minorEastAsia"/>
              <w:noProof/>
              <w:lang w:val="en-US"/>
            </w:rPr>
          </w:pPr>
          <w:hyperlink w:anchor="_Toc139016574" w:history="1">
            <w:r w:rsidR="00441970" w:rsidRPr="00C27EB7">
              <w:rPr>
                <w:rStyle w:val="Hyperlink"/>
                <w:noProof/>
                <w:lang w:eastAsia="en-GB"/>
              </w:rPr>
              <w:t>4.</w:t>
            </w:r>
            <w:r w:rsidR="00441970">
              <w:rPr>
                <w:rFonts w:eastAsiaTheme="minorEastAsia"/>
                <w:noProof/>
                <w:lang w:val="en-US"/>
              </w:rPr>
              <w:tab/>
            </w:r>
            <w:r w:rsidR="00441970" w:rsidRPr="00C27EB7">
              <w:rPr>
                <w:rStyle w:val="Hyperlink"/>
                <w:noProof/>
                <w:lang w:eastAsia="en-GB"/>
              </w:rPr>
              <w:t>Own Funds</w:t>
            </w:r>
            <w:r w:rsidR="00441970">
              <w:rPr>
                <w:noProof/>
                <w:webHidden/>
              </w:rPr>
              <w:tab/>
            </w:r>
            <w:r w:rsidR="00441970">
              <w:rPr>
                <w:noProof/>
                <w:webHidden/>
              </w:rPr>
              <w:fldChar w:fldCharType="begin"/>
            </w:r>
            <w:r w:rsidR="00441970">
              <w:rPr>
                <w:noProof/>
                <w:webHidden/>
              </w:rPr>
              <w:instrText xml:space="preserve"> PAGEREF _Toc139016574 \h </w:instrText>
            </w:r>
            <w:r w:rsidR="00441970">
              <w:rPr>
                <w:noProof/>
                <w:webHidden/>
              </w:rPr>
            </w:r>
            <w:r w:rsidR="00441970">
              <w:rPr>
                <w:noProof/>
                <w:webHidden/>
              </w:rPr>
              <w:fldChar w:fldCharType="separate"/>
            </w:r>
            <w:r w:rsidR="00441970">
              <w:rPr>
                <w:noProof/>
                <w:webHidden/>
              </w:rPr>
              <w:t>20</w:t>
            </w:r>
            <w:r w:rsidR="00441970">
              <w:rPr>
                <w:noProof/>
                <w:webHidden/>
              </w:rPr>
              <w:fldChar w:fldCharType="end"/>
            </w:r>
          </w:hyperlink>
        </w:p>
        <w:p w14:paraId="0AE64E6A" w14:textId="574CA929" w:rsidR="00441970" w:rsidRDefault="003A618F">
          <w:pPr>
            <w:pStyle w:val="TOC2"/>
            <w:rPr>
              <w:rFonts w:eastAsiaTheme="minorEastAsia"/>
              <w:noProof/>
              <w:lang w:val="en-US"/>
            </w:rPr>
          </w:pPr>
          <w:hyperlink w:anchor="_Toc139016575" w:history="1">
            <w:r w:rsidR="00441970" w:rsidRPr="00C27EB7">
              <w:rPr>
                <w:rStyle w:val="Hyperlink"/>
                <w:rFonts w:cstheme="minorHAnsi"/>
                <w:noProof/>
                <w:lang w:eastAsia="en-GB"/>
              </w:rPr>
              <w:t>4.1.</w:t>
            </w:r>
            <w:r w:rsidR="00441970">
              <w:rPr>
                <w:rFonts w:eastAsiaTheme="minorEastAsia"/>
                <w:noProof/>
                <w:lang w:val="en-US"/>
              </w:rPr>
              <w:tab/>
            </w:r>
            <w:r w:rsidR="00441970" w:rsidRPr="00C27EB7">
              <w:rPr>
                <w:rStyle w:val="Hyperlink"/>
                <w:noProof/>
                <w:lang w:eastAsia="en-GB"/>
              </w:rPr>
              <w:t>Composition of Regulatory Own Funds</w:t>
            </w:r>
            <w:r w:rsidR="00441970">
              <w:rPr>
                <w:noProof/>
                <w:webHidden/>
              </w:rPr>
              <w:tab/>
            </w:r>
            <w:r w:rsidR="00441970">
              <w:rPr>
                <w:noProof/>
                <w:webHidden/>
              </w:rPr>
              <w:fldChar w:fldCharType="begin"/>
            </w:r>
            <w:r w:rsidR="00441970">
              <w:rPr>
                <w:noProof/>
                <w:webHidden/>
              </w:rPr>
              <w:instrText xml:space="preserve"> PAGEREF _Toc139016575 \h </w:instrText>
            </w:r>
            <w:r w:rsidR="00441970">
              <w:rPr>
                <w:noProof/>
                <w:webHidden/>
              </w:rPr>
            </w:r>
            <w:r w:rsidR="00441970">
              <w:rPr>
                <w:noProof/>
                <w:webHidden/>
              </w:rPr>
              <w:fldChar w:fldCharType="separate"/>
            </w:r>
            <w:r w:rsidR="00441970">
              <w:rPr>
                <w:noProof/>
                <w:webHidden/>
              </w:rPr>
              <w:t>20</w:t>
            </w:r>
            <w:r w:rsidR="00441970">
              <w:rPr>
                <w:noProof/>
                <w:webHidden/>
              </w:rPr>
              <w:fldChar w:fldCharType="end"/>
            </w:r>
          </w:hyperlink>
        </w:p>
        <w:p w14:paraId="405AFEDE" w14:textId="37186B26" w:rsidR="00441970" w:rsidRDefault="003A618F">
          <w:pPr>
            <w:pStyle w:val="TOC2"/>
            <w:rPr>
              <w:rFonts w:eastAsiaTheme="minorEastAsia"/>
              <w:noProof/>
              <w:lang w:val="en-US"/>
            </w:rPr>
          </w:pPr>
          <w:hyperlink w:anchor="_Toc139016576" w:history="1">
            <w:r w:rsidR="00441970" w:rsidRPr="00C27EB7">
              <w:rPr>
                <w:rStyle w:val="Hyperlink"/>
                <w:rFonts w:cstheme="minorHAnsi"/>
                <w:noProof/>
              </w:rPr>
              <w:t>4.2.</w:t>
            </w:r>
            <w:r w:rsidR="00441970">
              <w:rPr>
                <w:rFonts w:eastAsiaTheme="minorEastAsia"/>
                <w:noProof/>
                <w:lang w:val="en-US"/>
              </w:rPr>
              <w:tab/>
            </w:r>
            <w:r w:rsidR="00441970" w:rsidRPr="00C27EB7">
              <w:rPr>
                <w:rStyle w:val="Hyperlink"/>
                <w:noProof/>
              </w:rPr>
              <w:t>Main Features of Capital Instruments</w:t>
            </w:r>
            <w:r w:rsidR="00441970">
              <w:rPr>
                <w:noProof/>
                <w:webHidden/>
              </w:rPr>
              <w:tab/>
            </w:r>
            <w:r w:rsidR="00441970">
              <w:rPr>
                <w:noProof/>
                <w:webHidden/>
              </w:rPr>
              <w:fldChar w:fldCharType="begin"/>
            </w:r>
            <w:r w:rsidR="00441970">
              <w:rPr>
                <w:noProof/>
                <w:webHidden/>
              </w:rPr>
              <w:instrText xml:space="preserve"> PAGEREF _Toc139016576 \h </w:instrText>
            </w:r>
            <w:r w:rsidR="00441970">
              <w:rPr>
                <w:noProof/>
                <w:webHidden/>
              </w:rPr>
            </w:r>
            <w:r w:rsidR="00441970">
              <w:rPr>
                <w:noProof/>
                <w:webHidden/>
              </w:rPr>
              <w:fldChar w:fldCharType="separate"/>
            </w:r>
            <w:r w:rsidR="00441970">
              <w:rPr>
                <w:noProof/>
                <w:webHidden/>
              </w:rPr>
              <w:t>21</w:t>
            </w:r>
            <w:r w:rsidR="00441970">
              <w:rPr>
                <w:noProof/>
                <w:webHidden/>
              </w:rPr>
              <w:fldChar w:fldCharType="end"/>
            </w:r>
          </w:hyperlink>
        </w:p>
        <w:p w14:paraId="7DF053A0" w14:textId="04E5CF1E" w:rsidR="00441970" w:rsidRDefault="003A618F">
          <w:pPr>
            <w:pStyle w:val="TOC2"/>
            <w:rPr>
              <w:rFonts w:eastAsiaTheme="minorEastAsia"/>
              <w:noProof/>
              <w:lang w:val="en-US"/>
            </w:rPr>
          </w:pPr>
          <w:hyperlink w:anchor="_Toc139016577" w:history="1">
            <w:r w:rsidR="00441970" w:rsidRPr="00C27EB7">
              <w:rPr>
                <w:rStyle w:val="Hyperlink"/>
                <w:rFonts w:cstheme="minorHAnsi"/>
                <w:noProof/>
              </w:rPr>
              <w:t>4.3.</w:t>
            </w:r>
            <w:r w:rsidR="00441970">
              <w:rPr>
                <w:rFonts w:eastAsiaTheme="minorEastAsia"/>
                <w:noProof/>
                <w:lang w:val="en-US"/>
              </w:rPr>
              <w:tab/>
            </w:r>
            <w:r w:rsidR="00441970" w:rsidRPr="00C27EB7">
              <w:rPr>
                <w:rStyle w:val="Hyperlink"/>
                <w:noProof/>
              </w:rPr>
              <w:t>Balance Sheet Reconciliation</w:t>
            </w:r>
            <w:r w:rsidR="00441970">
              <w:rPr>
                <w:noProof/>
                <w:webHidden/>
              </w:rPr>
              <w:tab/>
            </w:r>
            <w:r w:rsidR="00441970">
              <w:rPr>
                <w:noProof/>
                <w:webHidden/>
              </w:rPr>
              <w:fldChar w:fldCharType="begin"/>
            </w:r>
            <w:r w:rsidR="00441970">
              <w:rPr>
                <w:noProof/>
                <w:webHidden/>
              </w:rPr>
              <w:instrText xml:space="preserve"> PAGEREF _Toc139016577 \h </w:instrText>
            </w:r>
            <w:r w:rsidR="00441970">
              <w:rPr>
                <w:noProof/>
                <w:webHidden/>
              </w:rPr>
            </w:r>
            <w:r w:rsidR="00441970">
              <w:rPr>
                <w:noProof/>
                <w:webHidden/>
              </w:rPr>
              <w:fldChar w:fldCharType="separate"/>
            </w:r>
            <w:r w:rsidR="00441970">
              <w:rPr>
                <w:noProof/>
                <w:webHidden/>
              </w:rPr>
              <w:t>21</w:t>
            </w:r>
            <w:r w:rsidR="00441970">
              <w:rPr>
                <w:noProof/>
                <w:webHidden/>
              </w:rPr>
              <w:fldChar w:fldCharType="end"/>
            </w:r>
          </w:hyperlink>
        </w:p>
        <w:p w14:paraId="07C51E2F" w14:textId="1C2117C3" w:rsidR="00441970" w:rsidRDefault="003A618F">
          <w:pPr>
            <w:pStyle w:val="TOC1"/>
            <w:rPr>
              <w:rFonts w:eastAsiaTheme="minorEastAsia"/>
              <w:noProof/>
              <w:lang w:val="en-US"/>
            </w:rPr>
          </w:pPr>
          <w:hyperlink w:anchor="_Toc139016578" w:history="1">
            <w:r w:rsidR="00441970" w:rsidRPr="00C27EB7">
              <w:rPr>
                <w:rStyle w:val="Hyperlink"/>
                <w:noProof/>
              </w:rPr>
              <w:t>5.</w:t>
            </w:r>
            <w:r w:rsidR="00441970">
              <w:rPr>
                <w:rFonts w:eastAsiaTheme="minorEastAsia"/>
                <w:noProof/>
                <w:lang w:val="en-US"/>
              </w:rPr>
              <w:tab/>
            </w:r>
            <w:r w:rsidR="00441970" w:rsidRPr="00C27EB7">
              <w:rPr>
                <w:rStyle w:val="Hyperlink"/>
                <w:noProof/>
              </w:rPr>
              <w:t>Own Funds Requirements</w:t>
            </w:r>
            <w:r w:rsidR="00441970">
              <w:rPr>
                <w:noProof/>
                <w:webHidden/>
              </w:rPr>
              <w:tab/>
            </w:r>
            <w:r w:rsidR="00441970">
              <w:rPr>
                <w:noProof/>
                <w:webHidden/>
              </w:rPr>
              <w:fldChar w:fldCharType="begin"/>
            </w:r>
            <w:r w:rsidR="00441970">
              <w:rPr>
                <w:noProof/>
                <w:webHidden/>
              </w:rPr>
              <w:instrText xml:space="preserve"> PAGEREF _Toc139016578 \h </w:instrText>
            </w:r>
            <w:r w:rsidR="00441970">
              <w:rPr>
                <w:noProof/>
                <w:webHidden/>
              </w:rPr>
            </w:r>
            <w:r w:rsidR="00441970">
              <w:rPr>
                <w:noProof/>
                <w:webHidden/>
              </w:rPr>
              <w:fldChar w:fldCharType="separate"/>
            </w:r>
            <w:r w:rsidR="00441970">
              <w:rPr>
                <w:noProof/>
                <w:webHidden/>
              </w:rPr>
              <w:t>22</w:t>
            </w:r>
            <w:r w:rsidR="00441970">
              <w:rPr>
                <w:noProof/>
                <w:webHidden/>
              </w:rPr>
              <w:fldChar w:fldCharType="end"/>
            </w:r>
          </w:hyperlink>
        </w:p>
        <w:p w14:paraId="3023AAB2" w14:textId="203F0667" w:rsidR="00441970" w:rsidRDefault="003A618F">
          <w:pPr>
            <w:pStyle w:val="TOC2"/>
            <w:rPr>
              <w:rFonts w:eastAsiaTheme="minorEastAsia"/>
              <w:noProof/>
              <w:lang w:val="en-US"/>
            </w:rPr>
          </w:pPr>
          <w:hyperlink w:anchor="_Toc139016579" w:history="1">
            <w:r w:rsidR="00441970" w:rsidRPr="00C27EB7">
              <w:rPr>
                <w:rStyle w:val="Hyperlink"/>
                <w:rFonts w:cstheme="minorHAnsi"/>
                <w:noProof/>
              </w:rPr>
              <w:t>5.1.</w:t>
            </w:r>
            <w:r w:rsidR="00441970">
              <w:rPr>
                <w:rFonts w:eastAsiaTheme="minorEastAsia"/>
                <w:noProof/>
                <w:lang w:val="en-US"/>
              </w:rPr>
              <w:tab/>
            </w:r>
            <w:r w:rsidR="00441970" w:rsidRPr="00C27EB7">
              <w:rPr>
                <w:rStyle w:val="Hyperlink"/>
                <w:noProof/>
              </w:rPr>
              <w:t>Permanent Minimum Capital Requirement</w:t>
            </w:r>
            <w:r w:rsidR="00441970">
              <w:rPr>
                <w:noProof/>
                <w:webHidden/>
              </w:rPr>
              <w:tab/>
            </w:r>
            <w:r w:rsidR="00441970">
              <w:rPr>
                <w:noProof/>
                <w:webHidden/>
              </w:rPr>
              <w:fldChar w:fldCharType="begin"/>
            </w:r>
            <w:r w:rsidR="00441970">
              <w:rPr>
                <w:noProof/>
                <w:webHidden/>
              </w:rPr>
              <w:instrText xml:space="preserve"> PAGEREF _Toc139016579 \h </w:instrText>
            </w:r>
            <w:r w:rsidR="00441970">
              <w:rPr>
                <w:noProof/>
                <w:webHidden/>
              </w:rPr>
            </w:r>
            <w:r w:rsidR="00441970">
              <w:rPr>
                <w:noProof/>
                <w:webHidden/>
              </w:rPr>
              <w:fldChar w:fldCharType="separate"/>
            </w:r>
            <w:r w:rsidR="00441970">
              <w:rPr>
                <w:noProof/>
                <w:webHidden/>
              </w:rPr>
              <w:t>22</w:t>
            </w:r>
            <w:r w:rsidR="00441970">
              <w:rPr>
                <w:noProof/>
                <w:webHidden/>
              </w:rPr>
              <w:fldChar w:fldCharType="end"/>
            </w:r>
          </w:hyperlink>
        </w:p>
        <w:p w14:paraId="63583C4A" w14:textId="2F3BA986" w:rsidR="00441970" w:rsidRDefault="003A618F">
          <w:pPr>
            <w:pStyle w:val="TOC2"/>
            <w:rPr>
              <w:rFonts w:eastAsiaTheme="minorEastAsia"/>
              <w:noProof/>
              <w:lang w:val="en-US"/>
            </w:rPr>
          </w:pPr>
          <w:hyperlink w:anchor="_Toc139016580" w:history="1">
            <w:r w:rsidR="00441970" w:rsidRPr="00C27EB7">
              <w:rPr>
                <w:rStyle w:val="Hyperlink"/>
                <w:rFonts w:cstheme="minorHAnsi"/>
                <w:noProof/>
              </w:rPr>
              <w:t>5.2.</w:t>
            </w:r>
            <w:r w:rsidR="00441970">
              <w:rPr>
                <w:rFonts w:eastAsiaTheme="minorEastAsia"/>
                <w:noProof/>
                <w:lang w:val="en-US"/>
              </w:rPr>
              <w:tab/>
            </w:r>
            <w:r w:rsidR="00441970" w:rsidRPr="00C27EB7">
              <w:rPr>
                <w:rStyle w:val="Hyperlink"/>
                <w:noProof/>
              </w:rPr>
              <w:t>Fixed Overheads Requirement</w:t>
            </w:r>
            <w:r w:rsidR="00441970">
              <w:rPr>
                <w:noProof/>
                <w:webHidden/>
              </w:rPr>
              <w:tab/>
            </w:r>
            <w:r w:rsidR="00441970">
              <w:rPr>
                <w:noProof/>
                <w:webHidden/>
              </w:rPr>
              <w:fldChar w:fldCharType="begin"/>
            </w:r>
            <w:r w:rsidR="00441970">
              <w:rPr>
                <w:noProof/>
                <w:webHidden/>
              </w:rPr>
              <w:instrText xml:space="preserve"> PAGEREF _Toc139016580 \h </w:instrText>
            </w:r>
            <w:r w:rsidR="00441970">
              <w:rPr>
                <w:noProof/>
                <w:webHidden/>
              </w:rPr>
            </w:r>
            <w:r w:rsidR="00441970">
              <w:rPr>
                <w:noProof/>
                <w:webHidden/>
              </w:rPr>
              <w:fldChar w:fldCharType="separate"/>
            </w:r>
            <w:r w:rsidR="00441970">
              <w:rPr>
                <w:noProof/>
                <w:webHidden/>
              </w:rPr>
              <w:t>22</w:t>
            </w:r>
            <w:r w:rsidR="00441970">
              <w:rPr>
                <w:noProof/>
                <w:webHidden/>
              </w:rPr>
              <w:fldChar w:fldCharType="end"/>
            </w:r>
          </w:hyperlink>
        </w:p>
        <w:p w14:paraId="4B0DC39D" w14:textId="6AA124EF" w:rsidR="00441970" w:rsidRDefault="003A618F">
          <w:pPr>
            <w:pStyle w:val="TOC2"/>
            <w:rPr>
              <w:rFonts w:eastAsiaTheme="minorEastAsia"/>
              <w:noProof/>
              <w:lang w:val="en-US"/>
            </w:rPr>
          </w:pPr>
          <w:hyperlink w:anchor="_Toc139016581" w:history="1">
            <w:r w:rsidR="00441970" w:rsidRPr="00C27EB7">
              <w:rPr>
                <w:rStyle w:val="Hyperlink"/>
                <w:rFonts w:cstheme="minorHAnsi"/>
                <w:noProof/>
              </w:rPr>
              <w:t>5.3.</w:t>
            </w:r>
            <w:r w:rsidR="00441970">
              <w:rPr>
                <w:rFonts w:eastAsiaTheme="minorEastAsia"/>
                <w:noProof/>
                <w:lang w:val="en-US"/>
              </w:rPr>
              <w:tab/>
            </w:r>
            <w:r w:rsidR="00441970" w:rsidRPr="00C27EB7">
              <w:rPr>
                <w:rStyle w:val="Hyperlink"/>
                <w:noProof/>
              </w:rPr>
              <w:t>K-Factors Requirement</w:t>
            </w:r>
            <w:r w:rsidR="00441970">
              <w:rPr>
                <w:noProof/>
                <w:webHidden/>
              </w:rPr>
              <w:tab/>
            </w:r>
            <w:r w:rsidR="00441970">
              <w:rPr>
                <w:noProof/>
                <w:webHidden/>
              </w:rPr>
              <w:fldChar w:fldCharType="begin"/>
            </w:r>
            <w:r w:rsidR="00441970">
              <w:rPr>
                <w:noProof/>
                <w:webHidden/>
              </w:rPr>
              <w:instrText xml:space="preserve"> PAGEREF _Toc139016581 \h </w:instrText>
            </w:r>
            <w:r w:rsidR="00441970">
              <w:rPr>
                <w:noProof/>
                <w:webHidden/>
              </w:rPr>
            </w:r>
            <w:r w:rsidR="00441970">
              <w:rPr>
                <w:noProof/>
                <w:webHidden/>
              </w:rPr>
              <w:fldChar w:fldCharType="separate"/>
            </w:r>
            <w:r w:rsidR="00441970">
              <w:rPr>
                <w:noProof/>
                <w:webHidden/>
              </w:rPr>
              <w:t>22</w:t>
            </w:r>
            <w:r w:rsidR="00441970">
              <w:rPr>
                <w:noProof/>
                <w:webHidden/>
              </w:rPr>
              <w:fldChar w:fldCharType="end"/>
            </w:r>
          </w:hyperlink>
        </w:p>
        <w:p w14:paraId="6A164AFB" w14:textId="4D432D72" w:rsidR="00441970" w:rsidRDefault="003A618F">
          <w:pPr>
            <w:pStyle w:val="TOC2"/>
            <w:rPr>
              <w:rFonts w:eastAsiaTheme="minorEastAsia"/>
              <w:noProof/>
              <w:lang w:val="en-US"/>
            </w:rPr>
          </w:pPr>
          <w:hyperlink w:anchor="_Toc139016582" w:history="1">
            <w:r w:rsidR="00441970" w:rsidRPr="00C27EB7">
              <w:rPr>
                <w:rStyle w:val="Hyperlink"/>
                <w:rFonts w:cstheme="minorHAnsi"/>
                <w:noProof/>
                <w:lang w:val="en-US"/>
              </w:rPr>
              <w:t>5.4.</w:t>
            </w:r>
            <w:r w:rsidR="00441970">
              <w:rPr>
                <w:rFonts w:eastAsiaTheme="minorEastAsia"/>
                <w:noProof/>
                <w:lang w:val="en-US"/>
              </w:rPr>
              <w:tab/>
            </w:r>
            <w:r w:rsidR="00441970" w:rsidRPr="00C27EB7">
              <w:rPr>
                <w:rStyle w:val="Hyperlink"/>
                <w:noProof/>
              </w:rPr>
              <w:t>Overall Capital Adequacy Position</w:t>
            </w:r>
            <w:r w:rsidR="00441970">
              <w:rPr>
                <w:noProof/>
                <w:webHidden/>
              </w:rPr>
              <w:tab/>
            </w:r>
            <w:r w:rsidR="00441970">
              <w:rPr>
                <w:noProof/>
                <w:webHidden/>
              </w:rPr>
              <w:fldChar w:fldCharType="begin"/>
            </w:r>
            <w:r w:rsidR="00441970">
              <w:rPr>
                <w:noProof/>
                <w:webHidden/>
              </w:rPr>
              <w:instrText xml:space="preserve"> PAGEREF _Toc139016582 \h </w:instrText>
            </w:r>
            <w:r w:rsidR="00441970">
              <w:rPr>
                <w:noProof/>
                <w:webHidden/>
              </w:rPr>
            </w:r>
            <w:r w:rsidR="00441970">
              <w:rPr>
                <w:noProof/>
                <w:webHidden/>
              </w:rPr>
              <w:fldChar w:fldCharType="separate"/>
            </w:r>
            <w:r w:rsidR="00441970">
              <w:rPr>
                <w:noProof/>
                <w:webHidden/>
              </w:rPr>
              <w:t>24</w:t>
            </w:r>
            <w:r w:rsidR="00441970">
              <w:rPr>
                <w:noProof/>
                <w:webHidden/>
              </w:rPr>
              <w:fldChar w:fldCharType="end"/>
            </w:r>
          </w:hyperlink>
        </w:p>
        <w:p w14:paraId="74475D11" w14:textId="7F596B07" w:rsidR="00441970" w:rsidRDefault="003A618F">
          <w:pPr>
            <w:pStyle w:val="TOC2"/>
            <w:rPr>
              <w:rFonts w:eastAsiaTheme="minorEastAsia"/>
              <w:noProof/>
              <w:lang w:val="en-US"/>
            </w:rPr>
          </w:pPr>
          <w:hyperlink w:anchor="_Toc139016583" w:history="1">
            <w:r w:rsidR="00441970" w:rsidRPr="00C27EB7">
              <w:rPr>
                <w:rStyle w:val="Hyperlink"/>
                <w:rFonts w:cstheme="minorHAnsi"/>
                <w:noProof/>
              </w:rPr>
              <w:t>5.5.</w:t>
            </w:r>
            <w:r w:rsidR="00441970">
              <w:rPr>
                <w:rFonts w:eastAsiaTheme="minorEastAsia"/>
                <w:noProof/>
                <w:lang w:val="en-US"/>
              </w:rPr>
              <w:tab/>
            </w:r>
            <w:r w:rsidR="00441970" w:rsidRPr="00C27EB7">
              <w:rPr>
                <w:rStyle w:val="Hyperlink"/>
                <w:noProof/>
              </w:rPr>
              <w:t>Liquidity Requirements</w:t>
            </w:r>
            <w:r w:rsidR="00441970">
              <w:rPr>
                <w:noProof/>
                <w:webHidden/>
              </w:rPr>
              <w:tab/>
            </w:r>
            <w:r w:rsidR="00441970">
              <w:rPr>
                <w:noProof/>
                <w:webHidden/>
              </w:rPr>
              <w:fldChar w:fldCharType="begin"/>
            </w:r>
            <w:r w:rsidR="00441970">
              <w:rPr>
                <w:noProof/>
                <w:webHidden/>
              </w:rPr>
              <w:instrText xml:space="preserve"> PAGEREF _Toc139016583 \h </w:instrText>
            </w:r>
            <w:r w:rsidR="00441970">
              <w:rPr>
                <w:noProof/>
                <w:webHidden/>
              </w:rPr>
            </w:r>
            <w:r w:rsidR="00441970">
              <w:rPr>
                <w:noProof/>
                <w:webHidden/>
              </w:rPr>
              <w:fldChar w:fldCharType="separate"/>
            </w:r>
            <w:r w:rsidR="00441970">
              <w:rPr>
                <w:noProof/>
                <w:webHidden/>
              </w:rPr>
              <w:t>24</w:t>
            </w:r>
            <w:r w:rsidR="00441970">
              <w:rPr>
                <w:noProof/>
                <w:webHidden/>
              </w:rPr>
              <w:fldChar w:fldCharType="end"/>
            </w:r>
          </w:hyperlink>
        </w:p>
        <w:p w14:paraId="70CA45DE" w14:textId="389E30A2" w:rsidR="00441970" w:rsidRDefault="003A618F">
          <w:pPr>
            <w:pStyle w:val="TOC2"/>
            <w:rPr>
              <w:rFonts w:eastAsiaTheme="minorEastAsia"/>
              <w:noProof/>
              <w:lang w:val="en-US"/>
            </w:rPr>
          </w:pPr>
          <w:hyperlink w:anchor="_Toc139016584" w:history="1">
            <w:r w:rsidR="00441970" w:rsidRPr="00C27EB7">
              <w:rPr>
                <w:rStyle w:val="Hyperlink"/>
                <w:rFonts w:cstheme="minorHAnsi"/>
                <w:noProof/>
              </w:rPr>
              <w:t>5.6.</w:t>
            </w:r>
            <w:r w:rsidR="00441970">
              <w:rPr>
                <w:rFonts w:eastAsiaTheme="minorEastAsia"/>
                <w:noProof/>
                <w:lang w:val="en-US"/>
              </w:rPr>
              <w:tab/>
            </w:r>
            <w:r w:rsidR="00441970" w:rsidRPr="00C27EB7">
              <w:rPr>
                <w:rStyle w:val="Hyperlink"/>
                <w:noProof/>
              </w:rPr>
              <w:t>Internal Capital Adequacy and Risk Assessment Process</w:t>
            </w:r>
            <w:r w:rsidR="00441970">
              <w:rPr>
                <w:noProof/>
                <w:webHidden/>
              </w:rPr>
              <w:tab/>
            </w:r>
            <w:r w:rsidR="00441970">
              <w:rPr>
                <w:noProof/>
                <w:webHidden/>
              </w:rPr>
              <w:fldChar w:fldCharType="begin"/>
            </w:r>
            <w:r w:rsidR="00441970">
              <w:rPr>
                <w:noProof/>
                <w:webHidden/>
              </w:rPr>
              <w:instrText xml:space="preserve"> PAGEREF _Toc139016584 \h </w:instrText>
            </w:r>
            <w:r w:rsidR="00441970">
              <w:rPr>
                <w:noProof/>
                <w:webHidden/>
              </w:rPr>
            </w:r>
            <w:r w:rsidR="00441970">
              <w:rPr>
                <w:noProof/>
                <w:webHidden/>
              </w:rPr>
              <w:fldChar w:fldCharType="separate"/>
            </w:r>
            <w:r w:rsidR="00441970">
              <w:rPr>
                <w:noProof/>
                <w:webHidden/>
              </w:rPr>
              <w:t>25</w:t>
            </w:r>
            <w:r w:rsidR="00441970">
              <w:rPr>
                <w:noProof/>
                <w:webHidden/>
              </w:rPr>
              <w:fldChar w:fldCharType="end"/>
            </w:r>
          </w:hyperlink>
        </w:p>
        <w:p w14:paraId="1AE736AF" w14:textId="1E537DD2" w:rsidR="00441970" w:rsidRDefault="003A618F">
          <w:pPr>
            <w:pStyle w:val="TOC1"/>
            <w:rPr>
              <w:rFonts w:eastAsiaTheme="minorEastAsia"/>
              <w:noProof/>
              <w:lang w:val="en-US"/>
            </w:rPr>
          </w:pPr>
          <w:hyperlink w:anchor="_Toc139016585" w:history="1">
            <w:r w:rsidR="00441970" w:rsidRPr="00C27EB7">
              <w:rPr>
                <w:rStyle w:val="Hyperlink"/>
                <w:noProof/>
              </w:rPr>
              <w:t>6.</w:t>
            </w:r>
            <w:r w:rsidR="00441970">
              <w:rPr>
                <w:rFonts w:eastAsiaTheme="minorEastAsia"/>
                <w:noProof/>
                <w:lang w:val="en-US"/>
              </w:rPr>
              <w:tab/>
            </w:r>
            <w:r w:rsidR="00441970" w:rsidRPr="00C27EB7">
              <w:rPr>
                <w:rStyle w:val="Hyperlink"/>
                <w:noProof/>
              </w:rPr>
              <w:t>Remuneration</w:t>
            </w:r>
            <w:r w:rsidR="00441970">
              <w:rPr>
                <w:noProof/>
                <w:webHidden/>
              </w:rPr>
              <w:tab/>
            </w:r>
            <w:r w:rsidR="00441970">
              <w:rPr>
                <w:noProof/>
                <w:webHidden/>
              </w:rPr>
              <w:fldChar w:fldCharType="begin"/>
            </w:r>
            <w:r w:rsidR="00441970">
              <w:rPr>
                <w:noProof/>
                <w:webHidden/>
              </w:rPr>
              <w:instrText xml:space="preserve"> PAGEREF _Toc139016585 \h </w:instrText>
            </w:r>
            <w:r w:rsidR="00441970">
              <w:rPr>
                <w:noProof/>
                <w:webHidden/>
              </w:rPr>
            </w:r>
            <w:r w:rsidR="00441970">
              <w:rPr>
                <w:noProof/>
                <w:webHidden/>
              </w:rPr>
              <w:fldChar w:fldCharType="separate"/>
            </w:r>
            <w:r w:rsidR="00441970">
              <w:rPr>
                <w:noProof/>
                <w:webHidden/>
              </w:rPr>
              <w:t>27</w:t>
            </w:r>
            <w:r w:rsidR="00441970">
              <w:rPr>
                <w:noProof/>
                <w:webHidden/>
              </w:rPr>
              <w:fldChar w:fldCharType="end"/>
            </w:r>
          </w:hyperlink>
        </w:p>
        <w:p w14:paraId="332993BE" w14:textId="27683188" w:rsidR="00441970" w:rsidRDefault="003A618F">
          <w:pPr>
            <w:pStyle w:val="TOC2"/>
            <w:rPr>
              <w:rFonts w:eastAsiaTheme="minorEastAsia"/>
              <w:noProof/>
              <w:lang w:val="en-US"/>
            </w:rPr>
          </w:pPr>
          <w:hyperlink w:anchor="_Toc139016586" w:history="1">
            <w:r w:rsidR="00441970" w:rsidRPr="00C27EB7">
              <w:rPr>
                <w:rStyle w:val="Hyperlink"/>
                <w:rFonts w:eastAsia="Calibri" w:cstheme="minorHAnsi"/>
                <w:noProof/>
              </w:rPr>
              <w:t>6.1.</w:t>
            </w:r>
            <w:r w:rsidR="00441970" w:rsidRPr="00C27EB7">
              <w:rPr>
                <w:rStyle w:val="Hyperlink"/>
                <w:rFonts w:eastAsia="Times New Roman" w:cstheme="minorHAnsi"/>
                <w:noProof/>
              </w:rPr>
              <w:t xml:space="preserve"> </w:t>
            </w:r>
            <w:r w:rsidR="00441970" w:rsidRPr="00C27EB7">
              <w:rPr>
                <w:rStyle w:val="Hyperlink"/>
                <w:rFonts w:eastAsia="Calibri" w:cstheme="minorHAnsi"/>
                <w:noProof/>
              </w:rPr>
              <w:t>Remuneration Policy Principles</w:t>
            </w:r>
            <w:r w:rsidR="00441970">
              <w:rPr>
                <w:noProof/>
                <w:webHidden/>
              </w:rPr>
              <w:tab/>
            </w:r>
            <w:r w:rsidR="00441970">
              <w:rPr>
                <w:noProof/>
                <w:webHidden/>
              </w:rPr>
              <w:fldChar w:fldCharType="begin"/>
            </w:r>
            <w:r w:rsidR="00441970">
              <w:rPr>
                <w:noProof/>
                <w:webHidden/>
              </w:rPr>
              <w:instrText xml:space="preserve"> PAGEREF _Toc139016586 \h </w:instrText>
            </w:r>
            <w:r w:rsidR="00441970">
              <w:rPr>
                <w:noProof/>
                <w:webHidden/>
              </w:rPr>
            </w:r>
            <w:r w:rsidR="00441970">
              <w:rPr>
                <w:noProof/>
                <w:webHidden/>
              </w:rPr>
              <w:fldChar w:fldCharType="separate"/>
            </w:r>
            <w:r w:rsidR="00441970">
              <w:rPr>
                <w:noProof/>
                <w:webHidden/>
              </w:rPr>
              <w:t>27</w:t>
            </w:r>
            <w:r w:rsidR="00441970">
              <w:rPr>
                <w:noProof/>
                <w:webHidden/>
              </w:rPr>
              <w:fldChar w:fldCharType="end"/>
            </w:r>
          </w:hyperlink>
        </w:p>
        <w:p w14:paraId="5D15B464" w14:textId="55E62C8F" w:rsidR="00441970" w:rsidRDefault="003A618F">
          <w:pPr>
            <w:pStyle w:val="TOC2"/>
            <w:rPr>
              <w:rFonts w:eastAsiaTheme="minorEastAsia"/>
              <w:noProof/>
              <w:lang w:val="en-US"/>
            </w:rPr>
          </w:pPr>
          <w:hyperlink w:anchor="_Toc139016587" w:history="1">
            <w:r w:rsidR="00441970" w:rsidRPr="00C27EB7">
              <w:rPr>
                <w:rStyle w:val="Hyperlink"/>
                <w:rFonts w:eastAsia="Calibri" w:cstheme="minorHAnsi"/>
                <w:noProof/>
              </w:rPr>
              <w:t>6.2. Remuneration Committee</w:t>
            </w:r>
            <w:r w:rsidR="00441970">
              <w:rPr>
                <w:noProof/>
                <w:webHidden/>
              </w:rPr>
              <w:tab/>
            </w:r>
            <w:r w:rsidR="00441970">
              <w:rPr>
                <w:noProof/>
                <w:webHidden/>
              </w:rPr>
              <w:fldChar w:fldCharType="begin"/>
            </w:r>
            <w:r w:rsidR="00441970">
              <w:rPr>
                <w:noProof/>
                <w:webHidden/>
              </w:rPr>
              <w:instrText xml:space="preserve"> PAGEREF _Toc139016587 \h </w:instrText>
            </w:r>
            <w:r w:rsidR="00441970">
              <w:rPr>
                <w:noProof/>
                <w:webHidden/>
              </w:rPr>
            </w:r>
            <w:r w:rsidR="00441970">
              <w:rPr>
                <w:noProof/>
                <w:webHidden/>
              </w:rPr>
              <w:fldChar w:fldCharType="separate"/>
            </w:r>
            <w:r w:rsidR="00441970">
              <w:rPr>
                <w:noProof/>
                <w:webHidden/>
              </w:rPr>
              <w:t>27</w:t>
            </w:r>
            <w:r w:rsidR="00441970">
              <w:rPr>
                <w:noProof/>
                <w:webHidden/>
              </w:rPr>
              <w:fldChar w:fldCharType="end"/>
            </w:r>
          </w:hyperlink>
        </w:p>
        <w:p w14:paraId="24B64E66" w14:textId="4811F14C" w:rsidR="00441970" w:rsidRDefault="003A618F">
          <w:pPr>
            <w:pStyle w:val="TOC2"/>
            <w:rPr>
              <w:rFonts w:eastAsiaTheme="minorEastAsia"/>
              <w:noProof/>
              <w:lang w:val="en-US"/>
            </w:rPr>
          </w:pPr>
          <w:hyperlink w:anchor="_Toc139016588" w:history="1">
            <w:r w:rsidR="00441970" w:rsidRPr="00C27EB7">
              <w:rPr>
                <w:rStyle w:val="Hyperlink"/>
                <w:rFonts w:eastAsia="Calibri" w:cstheme="minorHAnsi"/>
                <w:noProof/>
              </w:rPr>
              <w:t>6.3. Remuneration and Performance</w:t>
            </w:r>
            <w:r w:rsidR="00441970">
              <w:rPr>
                <w:noProof/>
                <w:webHidden/>
              </w:rPr>
              <w:tab/>
            </w:r>
            <w:r w:rsidR="00441970">
              <w:rPr>
                <w:noProof/>
                <w:webHidden/>
              </w:rPr>
              <w:fldChar w:fldCharType="begin"/>
            </w:r>
            <w:r w:rsidR="00441970">
              <w:rPr>
                <w:noProof/>
                <w:webHidden/>
              </w:rPr>
              <w:instrText xml:space="preserve"> PAGEREF _Toc139016588 \h </w:instrText>
            </w:r>
            <w:r w:rsidR="00441970">
              <w:rPr>
                <w:noProof/>
                <w:webHidden/>
              </w:rPr>
            </w:r>
            <w:r w:rsidR="00441970">
              <w:rPr>
                <w:noProof/>
                <w:webHidden/>
              </w:rPr>
              <w:fldChar w:fldCharType="separate"/>
            </w:r>
            <w:r w:rsidR="00441970">
              <w:rPr>
                <w:noProof/>
                <w:webHidden/>
              </w:rPr>
              <w:t>27</w:t>
            </w:r>
            <w:r w:rsidR="00441970">
              <w:rPr>
                <w:noProof/>
                <w:webHidden/>
              </w:rPr>
              <w:fldChar w:fldCharType="end"/>
            </w:r>
          </w:hyperlink>
        </w:p>
        <w:p w14:paraId="00EA7261" w14:textId="5E4E3CCD" w:rsidR="00441970" w:rsidRDefault="003A618F">
          <w:pPr>
            <w:pStyle w:val="TOC2"/>
            <w:rPr>
              <w:rFonts w:eastAsiaTheme="minorEastAsia"/>
              <w:noProof/>
              <w:lang w:val="en-US"/>
            </w:rPr>
          </w:pPr>
          <w:hyperlink w:anchor="_Toc139016589" w:history="1">
            <w:r w:rsidR="00441970" w:rsidRPr="00C27EB7">
              <w:rPr>
                <w:rStyle w:val="Hyperlink"/>
                <w:rFonts w:eastAsia="Calibri" w:cstheme="minorHAnsi"/>
                <w:noProof/>
              </w:rPr>
              <w:t>6.4. Fixed and Variable Remuneration</w:t>
            </w:r>
            <w:r w:rsidR="00441970">
              <w:rPr>
                <w:noProof/>
                <w:webHidden/>
              </w:rPr>
              <w:tab/>
            </w:r>
            <w:r w:rsidR="00441970">
              <w:rPr>
                <w:noProof/>
                <w:webHidden/>
              </w:rPr>
              <w:fldChar w:fldCharType="begin"/>
            </w:r>
            <w:r w:rsidR="00441970">
              <w:rPr>
                <w:noProof/>
                <w:webHidden/>
              </w:rPr>
              <w:instrText xml:space="preserve"> PAGEREF _Toc139016589 \h </w:instrText>
            </w:r>
            <w:r w:rsidR="00441970">
              <w:rPr>
                <w:noProof/>
                <w:webHidden/>
              </w:rPr>
            </w:r>
            <w:r w:rsidR="00441970">
              <w:rPr>
                <w:noProof/>
                <w:webHidden/>
              </w:rPr>
              <w:fldChar w:fldCharType="separate"/>
            </w:r>
            <w:r w:rsidR="00441970">
              <w:rPr>
                <w:noProof/>
                <w:webHidden/>
              </w:rPr>
              <w:t>28</w:t>
            </w:r>
            <w:r w:rsidR="00441970">
              <w:rPr>
                <w:noProof/>
                <w:webHidden/>
              </w:rPr>
              <w:fldChar w:fldCharType="end"/>
            </w:r>
          </w:hyperlink>
        </w:p>
        <w:p w14:paraId="3D32A61D" w14:textId="530E93A3" w:rsidR="00441970" w:rsidRDefault="003A618F">
          <w:pPr>
            <w:pStyle w:val="TOC2"/>
            <w:rPr>
              <w:rFonts w:eastAsiaTheme="minorEastAsia"/>
              <w:noProof/>
              <w:lang w:val="en-US"/>
            </w:rPr>
          </w:pPr>
          <w:hyperlink w:anchor="_Toc139016590" w:history="1">
            <w:r w:rsidR="00441970" w:rsidRPr="00C27EB7">
              <w:rPr>
                <w:rStyle w:val="Hyperlink"/>
                <w:rFonts w:eastAsia="Calibri" w:cstheme="minorHAnsi"/>
                <w:noProof/>
              </w:rPr>
              <w:t>6.5. Remuneration of Material Risk Takers - MRTs</w:t>
            </w:r>
            <w:r w:rsidR="00441970">
              <w:rPr>
                <w:noProof/>
                <w:webHidden/>
              </w:rPr>
              <w:tab/>
            </w:r>
            <w:r w:rsidR="00441970">
              <w:rPr>
                <w:noProof/>
                <w:webHidden/>
              </w:rPr>
              <w:fldChar w:fldCharType="begin"/>
            </w:r>
            <w:r w:rsidR="00441970">
              <w:rPr>
                <w:noProof/>
                <w:webHidden/>
              </w:rPr>
              <w:instrText xml:space="preserve"> PAGEREF _Toc139016590 \h </w:instrText>
            </w:r>
            <w:r w:rsidR="00441970">
              <w:rPr>
                <w:noProof/>
                <w:webHidden/>
              </w:rPr>
            </w:r>
            <w:r w:rsidR="00441970">
              <w:rPr>
                <w:noProof/>
                <w:webHidden/>
              </w:rPr>
              <w:fldChar w:fldCharType="separate"/>
            </w:r>
            <w:r w:rsidR="00441970">
              <w:rPr>
                <w:noProof/>
                <w:webHidden/>
              </w:rPr>
              <w:t>29</w:t>
            </w:r>
            <w:r w:rsidR="00441970">
              <w:rPr>
                <w:noProof/>
                <w:webHidden/>
              </w:rPr>
              <w:fldChar w:fldCharType="end"/>
            </w:r>
          </w:hyperlink>
        </w:p>
        <w:p w14:paraId="5B1B8D30" w14:textId="2E7A0657" w:rsidR="00441970" w:rsidRDefault="003A618F">
          <w:pPr>
            <w:pStyle w:val="TOC1"/>
            <w:rPr>
              <w:rFonts w:eastAsiaTheme="minorEastAsia"/>
              <w:noProof/>
              <w:lang w:val="en-US"/>
            </w:rPr>
          </w:pPr>
          <w:hyperlink w:anchor="_Toc139016591" w:history="1">
            <w:r w:rsidR="00441970" w:rsidRPr="00C27EB7">
              <w:rPr>
                <w:rStyle w:val="Hyperlink"/>
                <w:noProof/>
              </w:rPr>
              <w:t>7.</w:t>
            </w:r>
            <w:r w:rsidR="00441970">
              <w:rPr>
                <w:rFonts w:eastAsiaTheme="minorEastAsia"/>
                <w:noProof/>
                <w:lang w:val="en-US"/>
              </w:rPr>
              <w:tab/>
            </w:r>
            <w:r w:rsidR="00441970" w:rsidRPr="00C27EB7">
              <w:rPr>
                <w:rStyle w:val="Hyperlink"/>
                <w:noProof/>
              </w:rPr>
              <w:t>Investment Policy</w:t>
            </w:r>
            <w:r w:rsidR="00441970">
              <w:rPr>
                <w:noProof/>
                <w:webHidden/>
              </w:rPr>
              <w:tab/>
            </w:r>
            <w:r w:rsidR="00441970">
              <w:rPr>
                <w:noProof/>
                <w:webHidden/>
              </w:rPr>
              <w:fldChar w:fldCharType="begin"/>
            </w:r>
            <w:r w:rsidR="00441970">
              <w:rPr>
                <w:noProof/>
                <w:webHidden/>
              </w:rPr>
              <w:instrText xml:space="preserve"> PAGEREF _Toc139016591 \h </w:instrText>
            </w:r>
            <w:r w:rsidR="00441970">
              <w:rPr>
                <w:noProof/>
                <w:webHidden/>
              </w:rPr>
            </w:r>
            <w:r w:rsidR="00441970">
              <w:rPr>
                <w:noProof/>
                <w:webHidden/>
              </w:rPr>
              <w:fldChar w:fldCharType="separate"/>
            </w:r>
            <w:r w:rsidR="00441970">
              <w:rPr>
                <w:noProof/>
                <w:webHidden/>
              </w:rPr>
              <w:t>31</w:t>
            </w:r>
            <w:r w:rsidR="00441970">
              <w:rPr>
                <w:noProof/>
                <w:webHidden/>
              </w:rPr>
              <w:fldChar w:fldCharType="end"/>
            </w:r>
          </w:hyperlink>
        </w:p>
        <w:p w14:paraId="5FA60C31" w14:textId="4B0449E5" w:rsidR="00B7643A" w:rsidRDefault="00B7643A" w:rsidP="003D1E20">
          <w:pPr>
            <w:pStyle w:val="TOC1"/>
            <w:rPr>
              <w:rStyle w:val="Hyperlink"/>
              <w:noProof/>
              <w:lang w:val="en-US"/>
            </w:rPr>
          </w:pPr>
          <w:r>
            <w:fldChar w:fldCharType="end"/>
          </w:r>
        </w:p>
      </w:sdtContent>
    </w:sdt>
    <w:p w14:paraId="04BD5FB8" w14:textId="732C2E0A" w:rsidR="00155486" w:rsidRDefault="00155486" w:rsidP="00D52A87">
      <w:pPr>
        <w:pStyle w:val="ForematterNormal"/>
        <w:ind w:left="0"/>
      </w:pPr>
    </w:p>
    <w:p w14:paraId="71A7A134" w14:textId="5D13C796" w:rsidR="000031A3" w:rsidRPr="00496FC6" w:rsidRDefault="00F23D77" w:rsidP="002C5184">
      <w:pPr>
        <w:pStyle w:val="Heading1"/>
        <w:numPr>
          <w:ilvl w:val="0"/>
          <w:numId w:val="1"/>
        </w:numPr>
        <w:spacing w:line="276" w:lineRule="auto"/>
        <w:rPr>
          <w:rFonts w:asciiTheme="minorHAnsi" w:hAnsiTheme="minorHAnsi" w:cstheme="minorBidi"/>
        </w:rPr>
      </w:pPr>
      <w:bookmarkStart w:id="0" w:name="_Toc1093470620"/>
      <w:bookmarkStart w:id="1" w:name="_Toc139016552"/>
      <w:r w:rsidRPr="3498C462">
        <w:rPr>
          <w:rFonts w:asciiTheme="minorHAnsi" w:hAnsiTheme="minorHAnsi" w:cstheme="minorBidi"/>
        </w:rPr>
        <w:lastRenderedPageBreak/>
        <w:t>Introduction</w:t>
      </w:r>
      <w:bookmarkEnd w:id="0"/>
      <w:bookmarkEnd w:id="1"/>
    </w:p>
    <w:p w14:paraId="0F626ADF" w14:textId="6FEEC9B4" w:rsidR="00E25525" w:rsidRPr="00496FC6" w:rsidRDefault="00F23D77" w:rsidP="32AE4765">
      <w:pPr>
        <w:ind w:left="0"/>
      </w:pPr>
      <w:r>
        <w:br/>
      </w:r>
      <w:r w:rsidR="00450EDE">
        <w:t>Lazard Asset Management Limited (“LAML”) and Lazard Fund Managers Limited (“LFM”), both of which are authorised and regulated by the Financial Conduct Authority (“FCA”)</w:t>
      </w:r>
      <w:r w:rsidR="0017202D">
        <w:t>,</w:t>
      </w:r>
      <w:r w:rsidR="00450EDE">
        <w:t xml:space="preserve"> </w:t>
      </w:r>
      <w:r w:rsidR="0017202D">
        <w:t>t</w:t>
      </w:r>
      <w:r w:rsidR="00450EDE">
        <w:t>ogether constitute the “LAML Group” or “the Group”.</w:t>
      </w:r>
      <w:r w:rsidR="0017202D">
        <w:t xml:space="preserve"> </w:t>
      </w:r>
      <w:r w:rsidR="29384B69">
        <w:t xml:space="preserve">The parent company of the smallest group to which LAML and LFM belong is Lazard Asset Management (UK) Holdings Limited (“LAMUKH”), a UK based holding company, whose parent company is Lazard Asset Management LLC which is the US based parent company to Lazard’s global asset management business (“LAM Group”). </w:t>
      </w:r>
    </w:p>
    <w:p w14:paraId="2B233810" w14:textId="24A0B51A" w:rsidR="00E25525" w:rsidRPr="00496FC6" w:rsidRDefault="0017202D" w:rsidP="32AE4765">
      <w:pPr>
        <w:ind w:left="0"/>
      </w:pPr>
      <w:r>
        <w:t>As</w:t>
      </w:r>
      <w:r w:rsidR="00E25525">
        <w:t xml:space="preserve"> </w:t>
      </w:r>
      <w:r w:rsidR="00FE0655">
        <w:t xml:space="preserve">a </w:t>
      </w:r>
      <w:r w:rsidR="00E25525">
        <w:t xml:space="preserve">MIFIDPRU </w:t>
      </w:r>
      <w:r w:rsidR="1FAE636D">
        <w:t>i</w:t>
      </w:r>
      <w:r w:rsidR="26AF326C">
        <w:t xml:space="preserve">nvestment </w:t>
      </w:r>
      <w:r w:rsidR="6AA464ED">
        <w:t>f</w:t>
      </w:r>
      <w:r w:rsidR="00E25525">
        <w:t xml:space="preserve">irm, </w:t>
      </w:r>
      <w:r w:rsidR="00FE6036">
        <w:t xml:space="preserve">the LAML Group </w:t>
      </w:r>
      <w:r w:rsidR="00FE0655">
        <w:t>is</w:t>
      </w:r>
      <w:r w:rsidR="00E25525">
        <w:t xml:space="preserve"> </w:t>
      </w:r>
      <w:r w:rsidR="5C2385BF">
        <w:t xml:space="preserve">required </w:t>
      </w:r>
      <w:r w:rsidR="00E25525">
        <w:t xml:space="preserve">to publicly disclose </w:t>
      </w:r>
      <w:r w:rsidR="7A92E80A">
        <w:t xml:space="preserve">certain </w:t>
      </w:r>
      <w:r w:rsidR="00E25525">
        <w:t xml:space="preserve">qualitative and quantitative information that </w:t>
      </w:r>
      <w:r w:rsidR="7A4DF11B">
        <w:t xml:space="preserve">is </w:t>
      </w:r>
      <w:r w:rsidR="00E25525">
        <w:t xml:space="preserve">appropriate to </w:t>
      </w:r>
      <w:r w:rsidR="00FE0655">
        <w:t>its</w:t>
      </w:r>
      <w:r w:rsidR="00E25525">
        <w:t xml:space="preserve"> size and internal organisation, and to the nature, </w:t>
      </w:r>
      <w:proofErr w:type="gramStart"/>
      <w:r w:rsidR="00E25525">
        <w:t>scope</w:t>
      </w:r>
      <w:proofErr w:type="gramEnd"/>
      <w:r w:rsidR="00E25525">
        <w:t xml:space="preserve"> and complexity of </w:t>
      </w:r>
      <w:r w:rsidR="00614668">
        <w:t>their</w:t>
      </w:r>
      <w:r w:rsidR="00E25525">
        <w:t xml:space="preserve"> activities. </w:t>
      </w:r>
      <w:r w:rsidR="00937910">
        <w:t>The</w:t>
      </w:r>
      <w:r w:rsidR="005F0CB7">
        <w:t xml:space="preserve"> provisions for public disclosure are set out in MIFIDPRU 8 and this document has been produced </w:t>
      </w:r>
      <w:proofErr w:type="gramStart"/>
      <w:r w:rsidR="005F0CB7">
        <w:t>in order to</w:t>
      </w:r>
      <w:proofErr w:type="gramEnd"/>
      <w:r w:rsidR="005F0CB7">
        <w:t xml:space="preserve"> meet the disclosure obligations of the </w:t>
      </w:r>
      <w:r w:rsidR="005B282A">
        <w:t>Group</w:t>
      </w:r>
      <w:r w:rsidR="005F0CB7">
        <w:t xml:space="preserve">. </w:t>
      </w:r>
    </w:p>
    <w:p w14:paraId="279F977D" w14:textId="6D07626B" w:rsidR="00E25525" w:rsidRPr="00496FC6" w:rsidRDefault="005F0CB7" w:rsidP="00E25525">
      <w:pPr>
        <w:ind w:left="0"/>
      </w:pPr>
      <w:r w:rsidRPr="32AE4765">
        <w:t xml:space="preserve">The disclosures are available on the </w:t>
      </w:r>
      <w:r w:rsidR="009D1CAB">
        <w:t>Group</w:t>
      </w:r>
      <w:r w:rsidRPr="32AE4765">
        <w:t>’s website (www.lazard.com).</w:t>
      </w:r>
    </w:p>
    <w:p w14:paraId="43D6EBC1" w14:textId="171EDA66" w:rsidR="006B60DB" w:rsidRPr="00640F84" w:rsidRDefault="00F23D77" w:rsidP="00640F84">
      <w:pPr>
        <w:pStyle w:val="Heading2"/>
        <w:numPr>
          <w:ilvl w:val="1"/>
          <w:numId w:val="2"/>
        </w:numPr>
        <w:spacing w:before="100" w:beforeAutospacing="1" w:after="100" w:afterAutospacing="1"/>
        <w:rPr>
          <w:rFonts w:asciiTheme="minorHAnsi" w:hAnsiTheme="minorHAnsi" w:cstheme="minorBidi"/>
        </w:rPr>
      </w:pPr>
      <w:bookmarkStart w:id="2" w:name="_Toc1805324014"/>
      <w:bookmarkStart w:id="3" w:name="_Toc139016553"/>
      <w:r w:rsidRPr="3498C462">
        <w:rPr>
          <w:rFonts w:asciiTheme="minorHAnsi" w:hAnsiTheme="minorHAnsi" w:cstheme="minorBidi"/>
        </w:rPr>
        <w:t>Business Overview</w:t>
      </w:r>
      <w:bookmarkEnd w:id="2"/>
      <w:bookmarkEnd w:id="3"/>
      <w:r w:rsidRPr="3498C462">
        <w:rPr>
          <w:rFonts w:asciiTheme="minorHAnsi" w:hAnsiTheme="minorHAnsi" w:cstheme="minorBidi"/>
        </w:rPr>
        <w:t xml:space="preserve"> </w:t>
      </w:r>
    </w:p>
    <w:p w14:paraId="40CB09F3" w14:textId="6A39BB64" w:rsidR="00AE0ADD" w:rsidRPr="00AE0ADD" w:rsidRDefault="00AE0ADD" w:rsidP="00AE0ADD">
      <w:pPr>
        <w:ind w:left="0"/>
        <w:rPr>
          <w:lang w:val="en-US"/>
        </w:rPr>
      </w:pPr>
      <w:r w:rsidRPr="00AE0ADD">
        <w:t xml:space="preserve">Lazard Asset Management Limited </w:t>
      </w:r>
      <w:r w:rsidR="006F0A24" w:rsidRPr="32AE4765">
        <w:t>was incorporated in the United Kingdom as a private limited company</w:t>
      </w:r>
      <w:r w:rsidR="006F0A24">
        <w:t>,</w:t>
      </w:r>
      <w:r w:rsidR="006F0A24" w:rsidRPr="32AE4765">
        <w:t xml:space="preserve"> and it is authorised by the Financial Conduct Authority </w:t>
      </w:r>
      <w:r w:rsidR="006F0A24">
        <w:t>(“FCA”)</w:t>
      </w:r>
      <w:r w:rsidR="006F0A24" w:rsidRPr="32AE4765">
        <w:t xml:space="preserve"> to </w:t>
      </w:r>
      <w:r w:rsidR="006F0A24">
        <w:t>provide</w:t>
      </w:r>
      <w:r w:rsidR="006F0A24" w:rsidRPr="32AE4765">
        <w:t xml:space="preserve"> the following regulated activities</w:t>
      </w:r>
      <w:r w:rsidR="006F0A24">
        <w:t>:</w:t>
      </w:r>
      <w:r w:rsidRPr="00AE0ADD">
        <w:rPr>
          <w:lang w:val="en-US"/>
        </w:rPr>
        <w:t xml:space="preserve"> </w:t>
      </w:r>
    </w:p>
    <w:p w14:paraId="2031A278" w14:textId="77777777" w:rsidR="00AE0ADD" w:rsidRPr="00AE0ADD" w:rsidRDefault="00AE0ADD">
      <w:pPr>
        <w:pStyle w:val="ListParagraph"/>
        <w:numPr>
          <w:ilvl w:val="0"/>
          <w:numId w:val="20"/>
        </w:numPr>
      </w:pPr>
      <w:r w:rsidRPr="00AE0ADD">
        <w:t xml:space="preserve">Advising on investments (except on Pension Transfers and Pension </w:t>
      </w:r>
      <w:proofErr w:type="spellStart"/>
      <w:r w:rsidRPr="00AE0ADD">
        <w:t>Opt</w:t>
      </w:r>
      <w:proofErr w:type="spellEnd"/>
      <w:r w:rsidRPr="00AE0ADD">
        <w:t xml:space="preserve"> Outs)</w:t>
      </w:r>
    </w:p>
    <w:p w14:paraId="2B329AC1" w14:textId="77777777" w:rsidR="00AE0ADD" w:rsidRPr="00AE0ADD" w:rsidRDefault="00AE0ADD">
      <w:pPr>
        <w:pStyle w:val="ListParagraph"/>
        <w:numPr>
          <w:ilvl w:val="0"/>
          <w:numId w:val="20"/>
        </w:numPr>
      </w:pPr>
      <w:r w:rsidRPr="00AE0ADD">
        <w:t>Arranging (bringing about) deals in investments</w:t>
      </w:r>
    </w:p>
    <w:p w14:paraId="4F67AAB0" w14:textId="77777777" w:rsidR="00AE0ADD" w:rsidRPr="00AE0ADD" w:rsidRDefault="00AE0ADD">
      <w:pPr>
        <w:pStyle w:val="ListParagraph"/>
        <w:numPr>
          <w:ilvl w:val="0"/>
          <w:numId w:val="20"/>
        </w:numPr>
      </w:pPr>
      <w:r w:rsidRPr="00AE0ADD">
        <w:t>Dealing in investments as agent</w:t>
      </w:r>
    </w:p>
    <w:p w14:paraId="570C1434" w14:textId="77777777" w:rsidR="00AE0ADD" w:rsidRPr="00AE0ADD" w:rsidRDefault="00AE0ADD">
      <w:pPr>
        <w:pStyle w:val="ListParagraph"/>
        <w:numPr>
          <w:ilvl w:val="0"/>
          <w:numId w:val="20"/>
        </w:numPr>
      </w:pPr>
      <w:proofErr w:type="gramStart"/>
      <w:r w:rsidRPr="00AE0ADD">
        <w:t>Making arrangements</w:t>
      </w:r>
      <w:proofErr w:type="gramEnd"/>
      <w:r w:rsidRPr="00AE0ADD">
        <w:t xml:space="preserve"> with a view to transactions in investments</w:t>
      </w:r>
    </w:p>
    <w:p w14:paraId="056FE8CF" w14:textId="77777777" w:rsidR="00AE0ADD" w:rsidRPr="00AE0ADD" w:rsidRDefault="00AE0ADD">
      <w:pPr>
        <w:pStyle w:val="ListParagraph"/>
        <w:numPr>
          <w:ilvl w:val="0"/>
          <w:numId w:val="20"/>
        </w:numPr>
      </w:pPr>
      <w:r w:rsidRPr="00AE0ADD">
        <w:t xml:space="preserve">Managing investments </w:t>
      </w:r>
    </w:p>
    <w:p w14:paraId="3142FF7A" w14:textId="77777777" w:rsidR="00AE0ADD" w:rsidRPr="00AE0ADD" w:rsidRDefault="00AE0ADD">
      <w:pPr>
        <w:pStyle w:val="ListParagraph"/>
        <w:numPr>
          <w:ilvl w:val="0"/>
          <w:numId w:val="20"/>
        </w:numPr>
      </w:pPr>
      <w:r w:rsidRPr="00AE0ADD">
        <w:t>Advising on P2P agreements</w:t>
      </w:r>
    </w:p>
    <w:p w14:paraId="724FC096" w14:textId="77777777" w:rsidR="00AE0ADD" w:rsidRPr="00AE0ADD" w:rsidRDefault="00AE0ADD">
      <w:pPr>
        <w:pStyle w:val="ListParagraph"/>
        <w:numPr>
          <w:ilvl w:val="0"/>
          <w:numId w:val="20"/>
        </w:numPr>
      </w:pPr>
      <w:r w:rsidRPr="00AE0ADD">
        <w:t xml:space="preserve">Agreeing to carry on a regulated </w:t>
      </w:r>
      <w:proofErr w:type="gramStart"/>
      <w:r w:rsidRPr="00AE0ADD">
        <w:t>activity</w:t>
      </w:r>
      <w:proofErr w:type="gramEnd"/>
    </w:p>
    <w:p w14:paraId="0762E0FB" w14:textId="491ECC3D" w:rsidR="00AE0ADD" w:rsidRPr="00AE0ADD" w:rsidRDefault="00AE0ADD" w:rsidP="00AE0ADD">
      <w:pPr>
        <w:ind w:left="0"/>
      </w:pPr>
      <w:r w:rsidRPr="00AE0ADD">
        <w:t xml:space="preserve">Lazard Fund Managers Limited </w:t>
      </w:r>
      <w:r w:rsidR="00F869FA" w:rsidRPr="32AE4765">
        <w:t>was incorporated in the United Kingdom as a private limited company</w:t>
      </w:r>
      <w:r w:rsidR="00F869FA">
        <w:t>,</w:t>
      </w:r>
      <w:r w:rsidR="00F869FA" w:rsidRPr="32AE4765">
        <w:t xml:space="preserve"> and it is authorised by the Financial Conduct Authority </w:t>
      </w:r>
      <w:r w:rsidR="00F869FA">
        <w:t>(“FCA”)</w:t>
      </w:r>
      <w:r w:rsidR="00F869FA" w:rsidRPr="32AE4765">
        <w:t xml:space="preserve"> to </w:t>
      </w:r>
      <w:r w:rsidR="00F869FA">
        <w:t>provide</w:t>
      </w:r>
      <w:r w:rsidR="00F869FA" w:rsidRPr="32AE4765">
        <w:t xml:space="preserve"> the following regulated activities</w:t>
      </w:r>
      <w:r w:rsidR="00F869FA">
        <w:t>:</w:t>
      </w:r>
      <w:r w:rsidR="00F869FA" w:rsidRPr="00AE0ADD">
        <w:rPr>
          <w:lang w:val="en-US"/>
        </w:rPr>
        <w:t xml:space="preserve"> </w:t>
      </w:r>
    </w:p>
    <w:p w14:paraId="621260C3" w14:textId="77777777" w:rsidR="00AE0ADD" w:rsidRPr="00AE0ADD" w:rsidRDefault="00AE0ADD">
      <w:pPr>
        <w:pStyle w:val="ListParagraph"/>
        <w:numPr>
          <w:ilvl w:val="0"/>
          <w:numId w:val="19"/>
        </w:numPr>
      </w:pPr>
      <w:r w:rsidRPr="00AE0ADD">
        <w:t>Arranging safeguarding and administration of assets</w:t>
      </w:r>
    </w:p>
    <w:p w14:paraId="7616F779" w14:textId="77777777" w:rsidR="00AE0ADD" w:rsidRPr="00AE0ADD" w:rsidRDefault="00AE0ADD">
      <w:pPr>
        <w:pStyle w:val="ListParagraph"/>
        <w:numPr>
          <w:ilvl w:val="0"/>
          <w:numId w:val="19"/>
        </w:numPr>
      </w:pPr>
      <w:r w:rsidRPr="00AE0ADD">
        <w:t>Managing investments</w:t>
      </w:r>
    </w:p>
    <w:p w14:paraId="6A20C69B" w14:textId="77777777" w:rsidR="00AE0ADD" w:rsidRPr="00AE0ADD" w:rsidRDefault="00AE0ADD">
      <w:pPr>
        <w:pStyle w:val="ListParagraph"/>
        <w:numPr>
          <w:ilvl w:val="0"/>
          <w:numId w:val="19"/>
        </w:numPr>
      </w:pPr>
      <w:r w:rsidRPr="00AE0ADD">
        <w:t>Arranging (bringing about) deals in investments</w:t>
      </w:r>
    </w:p>
    <w:p w14:paraId="067006A6" w14:textId="77777777" w:rsidR="00AE0ADD" w:rsidRPr="00AE0ADD" w:rsidRDefault="00AE0ADD">
      <w:pPr>
        <w:pStyle w:val="ListParagraph"/>
        <w:numPr>
          <w:ilvl w:val="0"/>
          <w:numId w:val="19"/>
        </w:numPr>
      </w:pPr>
      <w:r w:rsidRPr="00AE0ADD">
        <w:t xml:space="preserve">Advising on investments (except on Pension Transfers and Pension </w:t>
      </w:r>
      <w:proofErr w:type="spellStart"/>
      <w:r w:rsidRPr="00AE0ADD">
        <w:t>Opt</w:t>
      </w:r>
      <w:proofErr w:type="spellEnd"/>
      <w:r w:rsidRPr="00AE0ADD">
        <w:t xml:space="preserve"> Outs)</w:t>
      </w:r>
    </w:p>
    <w:p w14:paraId="12BBB5B8" w14:textId="77777777" w:rsidR="00AE0ADD" w:rsidRPr="00AE0ADD" w:rsidRDefault="00AE0ADD">
      <w:pPr>
        <w:pStyle w:val="ListParagraph"/>
        <w:numPr>
          <w:ilvl w:val="0"/>
          <w:numId w:val="19"/>
        </w:numPr>
      </w:pPr>
      <w:r w:rsidRPr="00AE0ADD">
        <w:t>Dealing in investments as agent</w:t>
      </w:r>
    </w:p>
    <w:p w14:paraId="46371C26" w14:textId="77777777" w:rsidR="00AE0ADD" w:rsidRPr="00AE0ADD" w:rsidRDefault="00AE0ADD">
      <w:pPr>
        <w:pStyle w:val="ListParagraph"/>
        <w:numPr>
          <w:ilvl w:val="0"/>
          <w:numId w:val="19"/>
        </w:numPr>
      </w:pPr>
      <w:r w:rsidRPr="00AE0ADD">
        <w:t>Dealing in investments as principal</w:t>
      </w:r>
    </w:p>
    <w:p w14:paraId="6815D3DC" w14:textId="77777777" w:rsidR="00AE0ADD" w:rsidRPr="00AE0ADD" w:rsidRDefault="00AE0ADD">
      <w:pPr>
        <w:pStyle w:val="ListParagraph"/>
        <w:numPr>
          <w:ilvl w:val="0"/>
          <w:numId w:val="19"/>
        </w:numPr>
      </w:pPr>
      <w:proofErr w:type="gramStart"/>
      <w:r w:rsidRPr="00AE0ADD">
        <w:t>Making arrangements</w:t>
      </w:r>
      <w:proofErr w:type="gramEnd"/>
      <w:r w:rsidRPr="00AE0ADD">
        <w:t xml:space="preserve"> with a view to transactions in investments</w:t>
      </w:r>
    </w:p>
    <w:p w14:paraId="286D8893" w14:textId="77777777" w:rsidR="00AE0ADD" w:rsidRPr="00AE0ADD" w:rsidRDefault="00AE0ADD">
      <w:pPr>
        <w:pStyle w:val="ListParagraph"/>
        <w:numPr>
          <w:ilvl w:val="0"/>
          <w:numId w:val="19"/>
        </w:numPr>
      </w:pPr>
      <w:r w:rsidRPr="00AE0ADD">
        <w:t xml:space="preserve">Managing a UK UCITS </w:t>
      </w:r>
    </w:p>
    <w:p w14:paraId="0D1D273A" w14:textId="77777777" w:rsidR="00AE0ADD" w:rsidRPr="00AE0ADD" w:rsidRDefault="00AE0ADD">
      <w:pPr>
        <w:pStyle w:val="ListParagraph"/>
        <w:numPr>
          <w:ilvl w:val="0"/>
          <w:numId w:val="19"/>
        </w:numPr>
      </w:pPr>
      <w:r w:rsidRPr="00AE0ADD">
        <w:t xml:space="preserve">Managing investments </w:t>
      </w:r>
    </w:p>
    <w:p w14:paraId="32769BE9" w14:textId="77777777" w:rsidR="00AE0ADD" w:rsidRPr="00AE0ADD" w:rsidRDefault="00AE0ADD">
      <w:pPr>
        <w:pStyle w:val="ListParagraph"/>
        <w:numPr>
          <w:ilvl w:val="0"/>
          <w:numId w:val="19"/>
        </w:numPr>
      </w:pPr>
      <w:r w:rsidRPr="00AE0ADD">
        <w:t xml:space="preserve">Agreeing to carry on a regulated </w:t>
      </w:r>
      <w:proofErr w:type="gramStart"/>
      <w:r w:rsidRPr="00AE0ADD">
        <w:t>activity</w:t>
      </w:r>
      <w:proofErr w:type="gramEnd"/>
    </w:p>
    <w:p w14:paraId="48D17F4A" w14:textId="51F0718C" w:rsidR="00F869FA" w:rsidRDefault="00F869FA" w:rsidP="3498C462">
      <w:pPr>
        <w:tabs>
          <w:tab w:val="left" w:pos="7185"/>
        </w:tabs>
        <w:spacing w:line="240" w:lineRule="auto"/>
        <w:ind w:left="0"/>
      </w:pPr>
      <w:r>
        <w:t>Lazard Asset Management Limited a</w:t>
      </w:r>
      <w:r w:rsidRPr="00F869FA">
        <w:t xml:space="preserve">cts as an asset manager, providing investment advisory, trading, marketing, client services and limited operational support. </w:t>
      </w:r>
      <w:r w:rsidR="00E5188F">
        <w:t>Lazard Fund Managers Limited</w:t>
      </w:r>
      <w:r w:rsidR="00E5188F" w:rsidRPr="00E5188F">
        <w:t xml:space="preserve"> </w:t>
      </w:r>
      <w:r w:rsidR="00E5188F">
        <w:t>ac</w:t>
      </w:r>
      <w:r w:rsidR="0035399C">
        <w:t xml:space="preserve">ts </w:t>
      </w:r>
      <w:r w:rsidR="00E5188F">
        <w:t>a</w:t>
      </w:r>
      <w:r w:rsidR="00E5188F" w:rsidRPr="00E5188F">
        <w:t>s an authorised corporate director to Lazard Investment Funds; Lazard Investment Funds is an open-ended investment company.</w:t>
      </w:r>
    </w:p>
    <w:p w14:paraId="3570C11B" w14:textId="22BE4D35" w:rsidR="00F23D77" w:rsidRPr="00496FC6" w:rsidRDefault="00F23D77">
      <w:pPr>
        <w:pStyle w:val="Heading2"/>
        <w:numPr>
          <w:ilvl w:val="1"/>
          <w:numId w:val="2"/>
        </w:numPr>
        <w:rPr>
          <w:rFonts w:asciiTheme="minorHAnsi" w:hAnsiTheme="minorHAnsi" w:cstheme="minorBidi"/>
        </w:rPr>
      </w:pPr>
      <w:bookmarkStart w:id="4" w:name="_Toc1342336260"/>
      <w:bookmarkStart w:id="5" w:name="_Toc139016554"/>
      <w:r w:rsidRPr="3498C462">
        <w:rPr>
          <w:rFonts w:asciiTheme="minorHAnsi" w:hAnsiTheme="minorHAnsi" w:cstheme="minorBidi"/>
        </w:rPr>
        <w:t>Classification</w:t>
      </w:r>
      <w:bookmarkEnd w:id="4"/>
      <w:bookmarkEnd w:id="5"/>
    </w:p>
    <w:p w14:paraId="2666308A" w14:textId="4C8F37B8" w:rsidR="00F23D77" w:rsidRPr="00496FC6" w:rsidRDefault="007006DD" w:rsidP="00F23D77">
      <w:pPr>
        <w:ind w:left="0"/>
      </w:pPr>
      <w:r>
        <w:br/>
      </w:r>
      <w:r w:rsidR="31EB293C" w:rsidRPr="32AE4765">
        <w:t>In accordance with the</w:t>
      </w:r>
      <w:r w:rsidR="00F23D77" w:rsidRPr="32AE4765">
        <w:t xml:space="preserve"> provisions of MIFIDPRU, all UK </w:t>
      </w:r>
      <w:r w:rsidR="0ED93042" w:rsidRPr="32AE4765">
        <w:t>i</w:t>
      </w:r>
      <w:r w:rsidR="2E53EDF0" w:rsidRPr="32AE4765">
        <w:t xml:space="preserve">nvestment </w:t>
      </w:r>
      <w:r w:rsidR="111154AE" w:rsidRPr="32AE4765">
        <w:t>f</w:t>
      </w:r>
      <w:r w:rsidR="00F23D77" w:rsidRPr="32AE4765">
        <w:t xml:space="preserve">irms are classified either as Small and Non-Interconnected </w:t>
      </w:r>
      <w:r w:rsidR="5469387C">
        <w:t>(</w:t>
      </w:r>
      <w:r w:rsidR="6A1CB5A4">
        <w:t>“</w:t>
      </w:r>
      <w:r w:rsidR="5469387C">
        <w:t>SNI</w:t>
      </w:r>
      <w:r w:rsidR="14EB359D">
        <w:t>”</w:t>
      </w:r>
      <w:r w:rsidR="00F23D77" w:rsidRPr="32AE4765">
        <w:t xml:space="preserve">) </w:t>
      </w:r>
      <w:r w:rsidR="2EDA90C7" w:rsidRPr="32AE4765">
        <w:t>or</w:t>
      </w:r>
      <w:r w:rsidR="00F23D77" w:rsidRPr="32AE4765">
        <w:t xml:space="preserve"> Non-Small and Non-Interconnected </w:t>
      </w:r>
      <w:r w:rsidR="5469387C">
        <w:t>(</w:t>
      </w:r>
      <w:r w:rsidR="18A7B0A4">
        <w:t>“</w:t>
      </w:r>
      <w:r w:rsidR="00F23D77" w:rsidRPr="32AE4765">
        <w:t>Non-</w:t>
      </w:r>
      <w:r w:rsidR="5469387C">
        <w:t>SNI</w:t>
      </w:r>
      <w:r w:rsidR="1A8128BD">
        <w:t>”</w:t>
      </w:r>
      <w:r w:rsidR="00F23D77" w:rsidRPr="32AE4765">
        <w:t xml:space="preserve">) investment </w:t>
      </w:r>
      <w:r w:rsidR="3C4716DB" w:rsidRPr="32AE4765">
        <w:t>f</w:t>
      </w:r>
      <w:r w:rsidR="00F23D77" w:rsidRPr="32AE4765">
        <w:t xml:space="preserve">irms.   </w:t>
      </w:r>
    </w:p>
    <w:p w14:paraId="3960E1F2" w14:textId="6F9F67E5" w:rsidR="00F23D77" w:rsidRPr="00496FC6" w:rsidRDefault="00F23D77" w:rsidP="00F23D77">
      <w:pPr>
        <w:ind w:left="0"/>
      </w:pPr>
      <w:r w:rsidRPr="32AE4765">
        <w:t>To qualify as an SNI</w:t>
      </w:r>
      <w:r w:rsidR="3904193A" w:rsidRPr="32AE4765">
        <w:t xml:space="preserve"> from a qualitative perspective</w:t>
      </w:r>
      <w:r w:rsidRPr="32AE4765">
        <w:t>, a</w:t>
      </w:r>
      <w:r w:rsidR="20CA5939" w:rsidRPr="32AE4765">
        <w:t xml:space="preserve"> UK </w:t>
      </w:r>
      <w:r w:rsidRPr="32AE4765">
        <w:t>investment firm:</w:t>
      </w:r>
    </w:p>
    <w:p w14:paraId="33146828" w14:textId="77777777" w:rsidR="00F23D77" w:rsidRPr="00496FC6" w:rsidRDefault="00F23D77">
      <w:pPr>
        <w:pStyle w:val="ListParagraph"/>
        <w:numPr>
          <w:ilvl w:val="0"/>
          <w:numId w:val="3"/>
        </w:numPr>
        <w:rPr>
          <w:rFonts w:cstheme="minorHAnsi"/>
        </w:rPr>
      </w:pPr>
      <w:r w:rsidRPr="00496FC6">
        <w:rPr>
          <w:rFonts w:cstheme="minorHAnsi"/>
        </w:rPr>
        <w:lastRenderedPageBreak/>
        <w:t>must not carry out activities that have the greatest potential to cause harm to its customers or to the markets in which it operates, and</w:t>
      </w:r>
    </w:p>
    <w:p w14:paraId="2AD54FBD" w14:textId="66FB4EEB" w:rsidR="00F23D77" w:rsidRPr="00496FC6" w:rsidRDefault="00F23D77">
      <w:pPr>
        <w:pStyle w:val="ListParagraph"/>
        <w:numPr>
          <w:ilvl w:val="0"/>
          <w:numId w:val="3"/>
        </w:numPr>
      </w:pPr>
      <w:r w:rsidRPr="3498C462">
        <w:t>must not carry out any activities on such a scale that would cause significant harm to customers or to the markets in which it operates</w:t>
      </w:r>
      <w:r w:rsidR="7D3E93B6" w:rsidRPr="3498C462">
        <w:t>.</w:t>
      </w:r>
    </w:p>
    <w:p w14:paraId="0C9FBE22" w14:textId="37FB375D" w:rsidR="00CD5AAF" w:rsidRPr="003A5473" w:rsidRDefault="006B2EE0" w:rsidP="006B2EE0">
      <w:pPr>
        <w:ind w:left="0"/>
      </w:pPr>
      <w:r w:rsidRPr="32AE4765">
        <w:t xml:space="preserve">Further to the above, the table below shows the quantitative thresholds that have been set by the FCA </w:t>
      </w:r>
      <w:proofErr w:type="gramStart"/>
      <w:r w:rsidRPr="32AE4765">
        <w:t>in order to</w:t>
      </w:r>
      <w:proofErr w:type="gramEnd"/>
      <w:r w:rsidRPr="32AE4765">
        <w:t xml:space="preserve"> be </w:t>
      </w:r>
      <w:r w:rsidR="5BB36A7F" w:rsidRPr="32AE4765">
        <w:t>categorised as an</w:t>
      </w:r>
      <w:r w:rsidR="2D237036" w:rsidRPr="32AE4765">
        <w:t xml:space="preserve"> SNI:</w:t>
      </w:r>
    </w:p>
    <w:p w14:paraId="16BABE7A" w14:textId="1B073FBC" w:rsidR="006B2EE0" w:rsidRPr="00496FC6" w:rsidRDefault="006B2EE0" w:rsidP="006B2EE0">
      <w:pPr>
        <w:pStyle w:val="Caption"/>
        <w:keepNext/>
        <w:rPr>
          <w:rFonts w:cstheme="minorHAnsi"/>
          <w:b/>
          <w:bCs/>
          <w:color w:val="auto"/>
          <w:sz w:val="24"/>
          <w:szCs w:val="24"/>
        </w:rPr>
      </w:pPr>
      <w:bookmarkStart w:id="6" w:name="_Toc81212627"/>
      <w:r w:rsidRPr="00496FC6">
        <w:rPr>
          <w:rFonts w:cstheme="minorHAnsi"/>
          <w:b/>
          <w:bCs/>
          <w:color w:val="auto"/>
          <w:sz w:val="24"/>
          <w:szCs w:val="24"/>
        </w:rPr>
        <w:t xml:space="preserve">Table </w:t>
      </w:r>
      <w:r w:rsidRPr="00496FC6">
        <w:rPr>
          <w:rFonts w:cstheme="minorHAnsi"/>
          <w:b/>
          <w:bCs/>
          <w:color w:val="auto"/>
          <w:sz w:val="24"/>
          <w:szCs w:val="24"/>
        </w:rPr>
        <w:fldChar w:fldCharType="begin"/>
      </w:r>
      <w:r w:rsidRPr="00496FC6">
        <w:rPr>
          <w:rFonts w:cstheme="minorHAnsi"/>
          <w:b/>
          <w:bCs/>
          <w:color w:val="auto"/>
          <w:sz w:val="24"/>
          <w:szCs w:val="24"/>
        </w:rPr>
        <w:instrText xml:space="preserve"> SEQ Table \* ARABIC </w:instrText>
      </w:r>
      <w:r w:rsidRPr="00496FC6">
        <w:rPr>
          <w:rFonts w:cstheme="minorHAnsi"/>
          <w:b/>
          <w:bCs/>
          <w:color w:val="auto"/>
          <w:sz w:val="24"/>
          <w:szCs w:val="24"/>
        </w:rPr>
        <w:fldChar w:fldCharType="separate"/>
      </w:r>
      <w:r w:rsidR="005C7385">
        <w:rPr>
          <w:rFonts w:cstheme="minorHAnsi"/>
          <w:b/>
          <w:bCs/>
          <w:noProof/>
          <w:color w:val="auto"/>
          <w:sz w:val="24"/>
          <w:szCs w:val="24"/>
        </w:rPr>
        <w:t>1</w:t>
      </w:r>
      <w:r w:rsidRPr="00496FC6">
        <w:rPr>
          <w:rFonts w:cstheme="minorHAnsi"/>
          <w:b/>
          <w:bCs/>
          <w:color w:val="auto"/>
          <w:sz w:val="24"/>
          <w:szCs w:val="24"/>
        </w:rPr>
        <w:fldChar w:fldCharType="end"/>
      </w:r>
      <w:r w:rsidRPr="00496FC6">
        <w:rPr>
          <w:rFonts w:cstheme="minorHAnsi"/>
          <w:b/>
          <w:bCs/>
          <w:color w:val="auto"/>
          <w:sz w:val="24"/>
          <w:szCs w:val="24"/>
        </w:rPr>
        <w:t>: SNI Thresholds</w:t>
      </w:r>
      <w:bookmarkEnd w:id="6"/>
    </w:p>
    <w:tbl>
      <w:tblPr>
        <w:tblStyle w:val="TableGrid"/>
        <w:tblW w:w="0" w:type="auto"/>
        <w:tblLook w:val="04A0" w:firstRow="1" w:lastRow="0" w:firstColumn="1" w:lastColumn="0" w:noHBand="0" w:noVBand="1"/>
      </w:tblPr>
      <w:tblGrid>
        <w:gridCol w:w="846"/>
        <w:gridCol w:w="5245"/>
        <w:gridCol w:w="2925"/>
      </w:tblGrid>
      <w:tr w:rsidR="006B2EE0" w:rsidRPr="00496FC6" w14:paraId="0780538E" w14:textId="77777777" w:rsidTr="006B2EE0">
        <w:tc>
          <w:tcPr>
            <w:tcW w:w="846" w:type="dxa"/>
            <w:shd w:val="clear" w:color="auto" w:fill="C00000"/>
          </w:tcPr>
          <w:p w14:paraId="1529FB81" w14:textId="77777777" w:rsidR="006B2EE0" w:rsidRPr="00496FC6" w:rsidRDefault="006B2EE0" w:rsidP="003533DE">
            <w:pPr>
              <w:spacing w:after="0"/>
              <w:ind w:left="-120" w:right="-101"/>
              <w:jc w:val="center"/>
              <w:rPr>
                <w:rFonts w:cstheme="minorHAnsi"/>
                <w:b/>
                <w:bCs/>
                <w:sz w:val="24"/>
                <w:szCs w:val="24"/>
                <w:lang w:val="en-US"/>
              </w:rPr>
            </w:pPr>
            <w:r w:rsidRPr="00496FC6">
              <w:rPr>
                <w:rFonts w:cstheme="minorHAnsi"/>
                <w:b/>
                <w:bCs/>
                <w:sz w:val="24"/>
                <w:szCs w:val="24"/>
              </w:rPr>
              <w:t>No.</w:t>
            </w:r>
          </w:p>
        </w:tc>
        <w:tc>
          <w:tcPr>
            <w:tcW w:w="5245" w:type="dxa"/>
            <w:shd w:val="clear" w:color="auto" w:fill="C00000"/>
          </w:tcPr>
          <w:p w14:paraId="06A24BA6" w14:textId="77777777" w:rsidR="006B2EE0" w:rsidRPr="00496FC6" w:rsidRDefault="006B2EE0" w:rsidP="003533DE">
            <w:pPr>
              <w:spacing w:after="0"/>
              <w:ind w:left="0"/>
              <w:rPr>
                <w:rFonts w:cstheme="minorHAnsi"/>
                <w:b/>
                <w:bCs/>
                <w:sz w:val="24"/>
                <w:szCs w:val="24"/>
                <w:lang w:val="en-US"/>
              </w:rPr>
            </w:pPr>
            <w:r w:rsidRPr="00496FC6">
              <w:rPr>
                <w:rFonts w:cstheme="minorHAnsi"/>
                <w:b/>
                <w:bCs/>
                <w:sz w:val="24"/>
                <w:szCs w:val="24"/>
              </w:rPr>
              <w:t>Metric</w:t>
            </w:r>
          </w:p>
        </w:tc>
        <w:tc>
          <w:tcPr>
            <w:tcW w:w="2925" w:type="dxa"/>
            <w:shd w:val="clear" w:color="auto" w:fill="C00000"/>
          </w:tcPr>
          <w:p w14:paraId="1B3CD33C" w14:textId="77777777" w:rsidR="006B2EE0" w:rsidRPr="00496FC6" w:rsidRDefault="006B2EE0" w:rsidP="003533DE">
            <w:pPr>
              <w:spacing w:after="0"/>
              <w:ind w:left="-98" w:right="-161"/>
              <w:jc w:val="center"/>
              <w:rPr>
                <w:rFonts w:cstheme="minorHAnsi"/>
                <w:b/>
                <w:bCs/>
                <w:sz w:val="24"/>
                <w:szCs w:val="24"/>
                <w:lang w:val="en-US"/>
              </w:rPr>
            </w:pPr>
            <w:r w:rsidRPr="00496FC6">
              <w:rPr>
                <w:rFonts w:cstheme="minorHAnsi"/>
                <w:b/>
                <w:bCs/>
                <w:sz w:val="24"/>
                <w:szCs w:val="24"/>
              </w:rPr>
              <w:t>Thresholds</w:t>
            </w:r>
          </w:p>
        </w:tc>
      </w:tr>
      <w:tr w:rsidR="006B2EE0" w:rsidRPr="00496FC6" w14:paraId="7DCB8999" w14:textId="77777777" w:rsidTr="006B2EE0">
        <w:trPr>
          <w:trHeight w:val="274"/>
        </w:trPr>
        <w:tc>
          <w:tcPr>
            <w:tcW w:w="846" w:type="dxa"/>
            <w:vAlign w:val="center"/>
          </w:tcPr>
          <w:p w14:paraId="61122F3F" w14:textId="77777777" w:rsidR="006B2EE0" w:rsidRPr="00496FC6" w:rsidRDefault="006B2EE0" w:rsidP="003533DE">
            <w:pPr>
              <w:spacing w:after="0"/>
              <w:ind w:left="-120" w:right="-101"/>
              <w:jc w:val="center"/>
              <w:rPr>
                <w:rFonts w:cstheme="minorHAnsi"/>
                <w:sz w:val="24"/>
                <w:szCs w:val="24"/>
                <w:lang w:val="en-US"/>
              </w:rPr>
            </w:pPr>
            <w:r w:rsidRPr="00496FC6">
              <w:rPr>
                <w:rFonts w:cstheme="minorHAnsi"/>
                <w:sz w:val="24"/>
                <w:szCs w:val="24"/>
              </w:rPr>
              <w:t>1.</w:t>
            </w:r>
          </w:p>
        </w:tc>
        <w:tc>
          <w:tcPr>
            <w:tcW w:w="5245" w:type="dxa"/>
            <w:vAlign w:val="center"/>
          </w:tcPr>
          <w:p w14:paraId="11AB7ABA" w14:textId="45803345" w:rsidR="006B2EE0" w:rsidRPr="00496FC6" w:rsidRDefault="3385EB0E" w:rsidP="003533DE">
            <w:pPr>
              <w:spacing w:after="0"/>
              <w:ind w:left="0"/>
              <w:jc w:val="left"/>
              <w:rPr>
                <w:sz w:val="24"/>
                <w:szCs w:val="24"/>
                <w:lang w:val="en-US"/>
              </w:rPr>
            </w:pPr>
            <w:r w:rsidRPr="7F3F34CE">
              <w:rPr>
                <w:sz w:val="24"/>
                <w:szCs w:val="24"/>
              </w:rPr>
              <w:t xml:space="preserve">Assets </w:t>
            </w:r>
            <w:r w:rsidR="0DA8F671" w:rsidRPr="7F3F34CE">
              <w:rPr>
                <w:sz w:val="24"/>
                <w:szCs w:val="24"/>
              </w:rPr>
              <w:t>u</w:t>
            </w:r>
            <w:r w:rsidR="3A5D6735" w:rsidRPr="7F3F34CE">
              <w:rPr>
                <w:sz w:val="24"/>
                <w:szCs w:val="24"/>
              </w:rPr>
              <w:t xml:space="preserve">nder </w:t>
            </w:r>
            <w:r w:rsidR="75489B2F" w:rsidRPr="7F3F34CE">
              <w:rPr>
                <w:sz w:val="24"/>
                <w:szCs w:val="24"/>
              </w:rPr>
              <w:t>m</w:t>
            </w:r>
            <w:r w:rsidRPr="7F3F34CE">
              <w:rPr>
                <w:sz w:val="24"/>
                <w:szCs w:val="24"/>
              </w:rPr>
              <w:t>anagement</w:t>
            </w:r>
          </w:p>
        </w:tc>
        <w:tc>
          <w:tcPr>
            <w:tcW w:w="2925" w:type="dxa"/>
            <w:vAlign w:val="center"/>
          </w:tcPr>
          <w:p w14:paraId="7A8FE831" w14:textId="77777777" w:rsidR="006B2EE0" w:rsidRPr="00496FC6" w:rsidRDefault="006B2EE0" w:rsidP="003533DE">
            <w:pPr>
              <w:spacing w:after="0"/>
              <w:ind w:left="-98" w:right="-161"/>
              <w:jc w:val="center"/>
              <w:rPr>
                <w:rFonts w:cstheme="minorHAnsi"/>
                <w:sz w:val="24"/>
                <w:szCs w:val="24"/>
                <w:lang w:val="en-US"/>
              </w:rPr>
            </w:pPr>
            <w:r w:rsidRPr="00496FC6">
              <w:rPr>
                <w:rFonts w:cstheme="minorHAnsi"/>
                <w:sz w:val="24"/>
                <w:szCs w:val="24"/>
              </w:rPr>
              <w:t>&lt; £1.2 billion</w:t>
            </w:r>
          </w:p>
        </w:tc>
      </w:tr>
      <w:tr w:rsidR="006B2EE0" w:rsidRPr="00496FC6" w14:paraId="09FD3514" w14:textId="77777777" w:rsidTr="006B2EE0">
        <w:tc>
          <w:tcPr>
            <w:tcW w:w="846" w:type="dxa"/>
            <w:vAlign w:val="center"/>
          </w:tcPr>
          <w:p w14:paraId="046A9EB5" w14:textId="77777777" w:rsidR="006B2EE0" w:rsidRPr="00496FC6" w:rsidRDefault="006B2EE0" w:rsidP="003533DE">
            <w:pPr>
              <w:spacing w:after="0"/>
              <w:ind w:left="-120" w:right="-101"/>
              <w:jc w:val="center"/>
              <w:rPr>
                <w:rFonts w:cstheme="minorHAnsi"/>
                <w:sz w:val="24"/>
                <w:szCs w:val="24"/>
                <w:lang w:val="en-US"/>
              </w:rPr>
            </w:pPr>
            <w:r w:rsidRPr="00496FC6">
              <w:rPr>
                <w:rFonts w:cstheme="minorHAnsi"/>
                <w:sz w:val="24"/>
                <w:szCs w:val="24"/>
              </w:rPr>
              <w:t>2.</w:t>
            </w:r>
          </w:p>
        </w:tc>
        <w:tc>
          <w:tcPr>
            <w:tcW w:w="5245" w:type="dxa"/>
            <w:vAlign w:val="center"/>
          </w:tcPr>
          <w:p w14:paraId="09573D6E" w14:textId="7ECF990A" w:rsidR="006B2EE0" w:rsidRPr="00496FC6" w:rsidRDefault="006B2EE0" w:rsidP="003533DE">
            <w:pPr>
              <w:spacing w:after="0"/>
              <w:ind w:left="0"/>
              <w:jc w:val="left"/>
              <w:rPr>
                <w:rFonts w:cstheme="minorHAnsi"/>
                <w:sz w:val="24"/>
                <w:szCs w:val="24"/>
                <w:lang w:val="en-US"/>
              </w:rPr>
            </w:pPr>
            <w:r w:rsidRPr="00496FC6">
              <w:rPr>
                <w:rFonts w:cstheme="minorHAnsi"/>
                <w:sz w:val="24"/>
                <w:szCs w:val="24"/>
              </w:rPr>
              <w:t>Client orders handled – cash trades</w:t>
            </w:r>
          </w:p>
        </w:tc>
        <w:tc>
          <w:tcPr>
            <w:tcW w:w="2925" w:type="dxa"/>
            <w:vAlign w:val="center"/>
          </w:tcPr>
          <w:p w14:paraId="72DC56DC" w14:textId="77777777" w:rsidR="006B2EE0" w:rsidRPr="00496FC6" w:rsidRDefault="006B2EE0" w:rsidP="003533DE">
            <w:pPr>
              <w:spacing w:after="0"/>
              <w:ind w:left="-98" w:right="-161"/>
              <w:jc w:val="center"/>
              <w:rPr>
                <w:rFonts w:cstheme="minorHAnsi"/>
                <w:sz w:val="24"/>
                <w:szCs w:val="24"/>
                <w:lang w:val="en-US"/>
              </w:rPr>
            </w:pPr>
            <w:r w:rsidRPr="00496FC6">
              <w:rPr>
                <w:rFonts w:cstheme="minorHAnsi"/>
                <w:sz w:val="24"/>
                <w:szCs w:val="24"/>
              </w:rPr>
              <w:t>&lt; £100 million per day</w:t>
            </w:r>
          </w:p>
        </w:tc>
      </w:tr>
      <w:tr w:rsidR="006B2EE0" w:rsidRPr="00496FC6" w14:paraId="2354E7DD" w14:textId="77777777" w:rsidTr="006B2EE0">
        <w:tc>
          <w:tcPr>
            <w:tcW w:w="846" w:type="dxa"/>
            <w:vAlign w:val="center"/>
          </w:tcPr>
          <w:p w14:paraId="51E9FD2E" w14:textId="77777777" w:rsidR="006B2EE0" w:rsidRPr="00496FC6" w:rsidRDefault="006B2EE0" w:rsidP="003533DE">
            <w:pPr>
              <w:spacing w:after="0"/>
              <w:ind w:left="-120" w:right="-101"/>
              <w:jc w:val="center"/>
              <w:rPr>
                <w:rFonts w:cstheme="minorHAnsi"/>
                <w:sz w:val="24"/>
                <w:szCs w:val="24"/>
                <w:lang w:val="en-US"/>
              </w:rPr>
            </w:pPr>
            <w:r w:rsidRPr="00496FC6">
              <w:rPr>
                <w:rFonts w:cstheme="minorHAnsi"/>
                <w:sz w:val="24"/>
                <w:szCs w:val="24"/>
              </w:rPr>
              <w:t>3.</w:t>
            </w:r>
          </w:p>
        </w:tc>
        <w:tc>
          <w:tcPr>
            <w:tcW w:w="5245" w:type="dxa"/>
            <w:vAlign w:val="center"/>
          </w:tcPr>
          <w:p w14:paraId="18A2C167" w14:textId="7D2EFEE1" w:rsidR="006B2EE0" w:rsidRPr="00496FC6" w:rsidRDefault="006B2EE0" w:rsidP="003533DE">
            <w:pPr>
              <w:spacing w:after="0"/>
              <w:ind w:left="0"/>
              <w:jc w:val="left"/>
              <w:rPr>
                <w:rFonts w:cstheme="minorHAnsi"/>
                <w:sz w:val="24"/>
                <w:szCs w:val="24"/>
                <w:lang w:val="en-US"/>
              </w:rPr>
            </w:pPr>
            <w:r w:rsidRPr="00496FC6">
              <w:rPr>
                <w:rFonts w:cstheme="minorHAnsi"/>
                <w:sz w:val="24"/>
                <w:szCs w:val="24"/>
              </w:rPr>
              <w:t>Client orders handled – derivative trades</w:t>
            </w:r>
          </w:p>
        </w:tc>
        <w:tc>
          <w:tcPr>
            <w:tcW w:w="2925" w:type="dxa"/>
            <w:vAlign w:val="center"/>
          </w:tcPr>
          <w:p w14:paraId="36E25147" w14:textId="77777777" w:rsidR="006B2EE0" w:rsidRPr="00496FC6" w:rsidRDefault="006B2EE0" w:rsidP="003533DE">
            <w:pPr>
              <w:spacing w:after="0"/>
              <w:ind w:left="-98" w:right="-161"/>
              <w:jc w:val="center"/>
              <w:rPr>
                <w:rFonts w:cstheme="minorHAnsi"/>
                <w:sz w:val="24"/>
                <w:szCs w:val="24"/>
                <w:lang w:val="en-US"/>
              </w:rPr>
            </w:pPr>
            <w:r w:rsidRPr="00496FC6">
              <w:rPr>
                <w:rFonts w:cstheme="minorHAnsi"/>
                <w:sz w:val="24"/>
                <w:szCs w:val="24"/>
              </w:rPr>
              <w:t>&lt; £1 billion per day</w:t>
            </w:r>
          </w:p>
        </w:tc>
      </w:tr>
      <w:tr w:rsidR="006B2EE0" w:rsidRPr="00496FC6" w14:paraId="030FEA4F" w14:textId="77777777" w:rsidTr="006B2EE0">
        <w:tc>
          <w:tcPr>
            <w:tcW w:w="846" w:type="dxa"/>
            <w:vAlign w:val="center"/>
          </w:tcPr>
          <w:p w14:paraId="0B4FBF50" w14:textId="77777777" w:rsidR="006B2EE0" w:rsidRPr="00496FC6" w:rsidRDefault="006B2EE0" w:rsidP="003533DE">
            <w:pPr>
              <w:spacing w:after="0"/>
              <w:ind w:left="-120" w:right="-101"/>
              <w:jc w:val="center"/>
              <w:rPr>
                <w:rFonts w:cstheme="minorHAnsi"/>
                <w:sz w:val="24"/>
                <w:szCs w:val="24"/>
                <w:lang w:val="en-US"/>
              </w:rPr>
            </w:pPr>
            <w:r w:rsidRPr="00496FC6">
              <w:rPr>
                <w:rFonts w:cstheme="minorHAnsi"/>
                <w:sz w:val="24"/>
                <w:szCs w:val="24"/>
              </w:rPr>
              <w:t>4.</w:t>
            </w:r>
          </w:p>
        </w:tc>
        <w:tc>
          <w:tcPr>
            <w:tcW w:w="5245" w:type="dxa"/>
            <w:vAlign w:val="center"/>
          </w:tcPr>
          <w:p w14:paraId="0D6B121E" w14:textId="0EF4ED76" w:rsidR="006B2EE0" w:rsidRPr="00496FC6" w:rsidRDefault="006B2EE0" w:rsidP="003533DE">
            <w:pPr>
              <w:spacing w:after="0"/>
              <w:ind w:left="0"/>
              <w:jc w:val="left"/>
              <w:rPr>
                <w:rFonts w:cstheme="minorHAnsi"/>
                <w:sz w:val="24"/>
                <w:szCs w:val="24"/>
                <w:lang w:val="en-US"/>
              </w:rPr>
            </w:pPr>
            <w:r w:rsidRPr="00496FC6">
              <w:rPr>
                <w:rFonts w:cstheme="minorHAnsi"/>
                <w:sz w:val="24"/>
                <w:szCs w:val="24"/>
              </w:rPr>
              <w:t>Assets safeguarded and administered</w:t>
            </w:r>
          </w:p>
        </w:tc>
        <w:tc>
          <w:tcPr>
            <w:tcW w:w="2925" w:type="dxa"/>
            <w:vAlign w:val="center"/>
          </w:tcPr>
          <w:p w14:paraId="5FA2C943" w14:textId="77777777" w:rsidR="006B2EE0" w:rsidRPr="00496FC6" w:rsidRDefault="006B2EE0" w:rsidP="003533DE">
            <w:pPr>
              <w:spacing w:after="0"/>
              <w:ind w:left="-98" w:right="-161"/>
              <w:jc w:val="center"/>
              <w:rPr>
                <w:rFonts w:cstheme="minorHAnsi"/>
                <w:sz w:val="24"/>
                <w:szCs w:val="24"/>
                <w:lang w:val="en-US"/>
              </w:rPr>
            </w:pPr>
            <w:r w:rsidRPr="00496FC6">
              <w:rPr>
                <w:rFonts w:cstheme="minorHAnsi"/>
                <w:sz w:val="24"/>
                <w:szCs w:val="24"/>
              </w:rPr>
              <w:t>zero</w:t>
            </w:r>
          </w:p>
        </w:tc>
      </w:tr>
      <w:tr w:rsidR="006B2EE0" w:rsidRPr="00496FC6" w14:paraId="7AC24615" w14:textId="77777777" w:rsidTr="006B2EE0">
        <w:tc>
          <w:tcPr>
            <w:tcW w:w="846" w:type="dxa"/>
            <w:vAlign w:val="center"/>
          </w:tcPr>
          <w:p w14:paraId="149C7972" w14:textId="77777777" w:rsidR="006B2EE0" w:rsidRPr="00496FC6" w:rsidRDefault="006B2EE0" w:rsidP="003533DE">
            <w:pPr>
              <w:spacing w:after="0"/>
              <w:ind w:left="-120" w:right="-101"/>
              <w:jc w:val="center"/>
              <w:rPr>
                <w:rFonts w:cstheme="minorHAnsi"/>
                <w:sz w:val="24"/>
                <w:szCs w:val="24"/>
                <w:lang w:val="en-US"/>
              </w:rPr>
            </w:pPr>
            <w:r w:rsidRPr="00496FC6">
              <w:rPr>
                <w:rFonts w:cstheme="minorHAnsi"/>
                <w:sz w:val="24"/>
                <w:szCs w:val="24"/>
              </w:rPr>
              <w:t>5.</w:t>
            </w:r>
          </w:p>
        </w:tc>
        <w:tc>
          <w:tcPr>
            <w:tcW w:w="5245" w:type="dxa"/>
            <w:vAlign w:val="center"/>
          </w:tcPr>
          <w:p w14:paraId="51EBCC5A" w14:textId="654674BF" w:rsidR="006B2EE0" w:rsidRPr="00496FC6" w:rsidRDefault="006B2EE0" w:rsidP="003533DE">
            <w:pPr>
              <w:spacing w:after="0"/>
              <w:ind w:left="0"/>
              <w:jc w:val="left"/>
              <w:rPr>
                <w:rFonts w:cstheme="minorHAnsi"/>
                <w:sz w:val="24"/>
                <w:szCs w:val="24"/>
                <w:lang w:val="en-US"/>
              </w:rPr>
            </w:pPr>
            <w:r w:rsidRPr="00496FC6">
              <w:rPr>
                <w:rFonts w:cstheme="minorHAnsi"/>
                <w:sz w:val="24"/>
                <w:szCs w:val="24"/>
              </w:rPr>
              <w:t>Client money held</w:t>
            </w:r>
          </w:p>
        </w:tc>
        <w:tc>
          <w:tcPr>
            <w:tcW w:w="2925" w:type="dxa"/>
            <w:vAlign w:val="center"/>
          </w:tcPr>
          <w:p w14:paraId="5E0B838B" w14:textId="77777777" w:rsidR="006B2EE0" w:rsidRPr="00496FC6" w:rsidRDefault="006B2EE0" w:rsidP="003533DE">
            <w:pPr>
              <w:spacing w:after="0"/>
              <w:ind w:left="-98" w:right="-161"/>
              <w:jc w:val="center"/>
              <w:rPr>
                <w:rFonts w:cstheme="minorHAnsi"/>
                <w:sz w:val="24"/>
                <w:szCs w:val="24"/>
                <w:lang w:val="en-US"/>
              </w:rPr>
            </w:pPr>
            <w:r w:rsidRPr="00496FC6">
              <w:rPr>
                <w:rFonts w:cstheme="minorHAnsi"/>
                <w:sz w:val="24"/>
                <w:szCs w:val="24"/>
              </w:rPr>
              <w:t>zero</w:t>
            </w:r>
          </w:p>
        </w:tc>
      </w:tr>
      <w:tr w:rsidR="006B2EE0" w:rsidRPr="00496FC6" w14:paraId="2ADCED9A" w14:textId="77777777" w:rsidTr="006B2EE0">
        <w:tc>
          <w:tcPr>
            <w:tcW w:w="846" w:type="dxa"/>
            <w:vAlign w:val="center"/>
          </w:tcPr>
          <w:p w14:paraId="0A0784A0" w14:textId="77777777" w:rsidR="006B2EE0" w:rsidRPr="00496FC6" w:rsidRDefault="006B2EE0" w:rsidP="003533DE">
            <w:pPr>
              <w:spacing w:after="0"/>
              <w:ind w:left="-120" w:right="-101"/>
              <w:jc w:val="center"/>
              <w:rPr>
                <w:rFonts w:cstheme="minorHAnsi"/>
                <w:sz w:val="24"/>
                <w:szCs w:val="24"/>
                <w:lang w:val="en-US"/>
              </w:rPr>
            </w:pPr>
            <w:r w:rsidRPr="00496FC6">
              <w:rPr>
                <w:rFonts w:cstheme="minorHAnsi"/>
                <w:sz w:val="24"/>
                <w:szCs w:val="24"/>
              </w:rPr>
              <w:t>6.</w:t>
            </w:r>
          </w:p>
        </w:tc>
        <w:tc>
          <w:tcPr>
            <w:tcW w:w="5245" w:type="dxa"/>
            <w:vAlign w:val="center"/>
          </w:tcPr>
          <w:p w14:paraId="5D779E4D" w14:textId="77777777" w:rsidR="006B2EE0" w:rsidRPr="00496FC6" w:rsidRDefault="006B2EE0" w:rsidP="003533DE">
            <w:pPr>
              <w:spacing w:after="0"/>
              <w:ind w:left="0"/>
              <w:jc w:val="left"/>
              <w:rPr>
                <w:rFonts w:cstheme="minorHAnsi"/>
                <w:sz w:val="24"/>
                <w:szCs w:val="24"/>
                <w:lang w:val="en-US"/>
              </w:rPr>
            </w:pPr>
            <w:r w:rsidRPr="00496FC6">
              <w:rPr>
                <w:rFonts w:cstheme="minorHAnsi"/>
                <w:sz w:val="24"/>
                <w:szCs w:val="24"/>
              </w:rPr>
              <w:t>On- and off-balance sheet total</w:t>
            </w:r>
          </w:p>
        </w:tc>
        <w:tc>
          <w:tcPr>
            <w:tcW w:w="2925" w:type="dxa"/>
            <w:vAlign w:val="center"/>
          </w:tcPr>
          <w:p w14:paraId="5100E84F" w14:textId="77777777" w:rsidR="006B2EE0" w:rsidRPr="00496FC6" w:rsidRDefault="006B2EE0" w:rsidP="003533DE">
            <w:pPr>
              <w:spacing w:after="0"/>
              <w:ind w:left="-98" w:right="-161"/>
              <w:jc w:val="center"/>
              <w:rPr>
                <w:rFonts w:cstheme="minorHAnsi"/>
                <w:sz w:val="24"/>
                <w:szCs w:val="24"/>
                <w:lang w:val="en-US"/>
              </w:rPr>
            </w:pPr>
            <w:r w:rsidRPr="00496FC6">
              <w:rPr>
                <w:rFonts w:cstheme="minorHAnsi"/>
                <w:sz w:val="24"/>
                <w:szCs w:val="24"/>
              </w:rPr>
              <w:t>&lt; £100 million</w:t>
            </w:r>
          </w:p>
        </w:tc>
      </w:tr>
      <w:tr w:rsidR="006B2EE0" w:rsidRPr="00496FC6" w14:paraId="0542C95D" w14:textId="77777777" w:rsidTr="006B2EE0">
        <w:tc>
          <w:tcPr>
            <w:tcW w:w="846" w:type="dxa"/>
            <w:vAlign w:val="center"/>
          </w:tcPr>
          <w:p w14:paraId="7893EAAF" w14:textId="77777777" w:rsidR="006B2EE0" w:rsidRPr="00496FC6" w:rsidRDefault="006B2EE0" w:rsidP="003533DE">
            <w:pPr>
              <w:spacing w:after="0"/>
              <w:ind w:left="-120" w:right="-101"/>
              <w:jc w:val="center"/>
              <w:rPr>
                <w:rFonts w:cstheme="minorHAnsi"/>
                <w:sz w:val="24"/>
                <w:szCs w:val="24"/>
                <w:lang w:val="en-US"/>
              </w:rPr>
            </w:pPr>
            <w:r w:rsidRPr="00496FC6">
              <w:rPr>
                <w:rFonts w:cstheme="minorHAnsi"/>
                <w:sz w:val="24"/>
                <w:szCs w:val="24"/>
              </w:rPr>
              <w:t>7.</w:t>
            </w:r>
          </w:p>
        </w:tc>
        <w:tc>
          <w:tcPr>
            <w:tcW w:w="5245" w:type="dxa"/>
            <w:vAlign w:val="center"/>
          </w:tcPr>
          <w:p w14:paraId="5D9F2F30" w14:textId="77777777" w:rsidR="006B2EE0" w:rsidRPr="00496FC6" w:rsidRDefault="006B2EE0" w:rsidP="003533DE">
            <w:pPr>
              <w:spacing w:after="0"/>
              <w:ind w:left="0"/>
              <w:jc w:val="left"/>
              <w:rPr>
                <w:rFonts w:cstheme="minorHAnsi"/>
                <w:sz w:val="24"/>
                <w:szCs w:val="24"/>
                <w:lang w:val="en-US"/>
              </w:rPr>
            </w:pPr>
            <w:r w:rsidRPr="00496FC6">
              <w:rPr>
                <w:rFonts w:cstheme="minorHAnsi"/>
                <w:sz w:val="24"/>
                <w:szCs w:val="24"/>
              </w:rPr>
              <w:t>Total annual gross revenue from investment services and activities</w:t>
            </w:r>
          </w:p>
        </w:tc>
        <w:tc>
          <w:tcPr>
            <w:tcW w:w="2925" w:type="dxa"/>
            <w:vAlign w:val="center"/>
          </w:tcPr>
          <w:p w14:paraId="3EE228C4" w14:textId="77777777" w:rsidR="006B2EE0" w:rsidRPr="00496FC6" w:rsidRDefault="006B2EE0" w:rsidP="003533DE">
            <w:pPr>
              <w:spacing w:after="0"/>
              <w:ind w:left="-98" w:right="-161"/>
              <w:jc w:val="center"/>
              <w:rPr>
                <w:rFonts w:cstheme="minorHAnsi"/>
                <w:sz w:val="24"/>
                <w:szCs w:val="24"/>
                <w:lang w:val="en-US"/>
              </w:rPr>
            </w:pPr>
            <w:r w:rsidRPr="00496FC6">
              <w:rPr>
                <w:rFonts w:cstheme="minorHAnsi"/>
                <w:sz w:val="24"/>
                <w:szCs w:val="24"/>
              </w:rPr>
              <w:t>&lt; £30 million</w:t>
            </w:r>
          </w:p>
        </w:tc>
      </w:tr>
    </w:tbl>
    <w:p w14:paraId="7347C48B" w14:textId="5CA49FE2" w:rsidR="006B2EE0" w:rsidRPr="00496FC6" w:rsidRDefault="006B2EE0" w:rsidP="006B2EE0">
      <w:pPr>
        <w:ind w:left="0"/>
      </w:pPr>
      <w:r>
        <w:br/>
      </w:r>
      <w:r w:rsidR="0039605D" w:rsidRPr="32AE4765">
        <w:t>The</w:t>
      </w:r>
      <w:r w:rsidRPr="32AE4765">
        <w:t xml:space="preserve"> </w:t>
      </w:r>
      <w:r w:rsidR="00A67750">
        <w:t>LAML</w:t>
      </w:r>
      <w:r w:rsidR="00943F66">
        <w:t xml:space="preserve"> </w:t>
      </w:r>
      <w:r w:rsidR="00A83319">
        <w:t>Group</w:t>
      </w:r>
      <w:r w:rsidRPr="32AE4765">
        <w:t xml:space="preserve"> is categorized as a non-SNI </w:t>
      </w:r>
      <w:r w:rsidR="5EA1F8A0">
        <w:t>i</w:t>
      </w:r>
      <w:r w:rsidR="3A5D6735">
        <w:t xml:space="preserve">nvestment </w:t>
      </w:r>
      <w:r w:rsidR="336449B1">
        <w:t>f</w:t>
      </w:r>
      <w:r w:rsidR="3A5D6735">
        <w:t xml:space="preserve">irm </w:t>
      </w:r>
      <w:r w:rsidR="2F4D982D">
        <w:t>as</w:t>
      </w:r>
      <w:r w:rsidRPr="32AE4765">
        <w:t xml:space="preserve"> it does not </w:t>
      </w:r>
      <w:r w:rsidR="6BEB5E87">
        <w:t xml:space="preserve">satisfy </w:t>
      </w:r>
      <w:proofErr w:type="gramStart"/>
      <w:r w:rsidRPr="32AE4765">
        <w:t>all of</w:t>
      </w:r>
      <w:proofErr w:type="gramEnd"/>
      <w:r w:rsidRPr="32AE4765">
        <w:t xml:space="preserve"> the </w:t>
      </w:r>
      <w:r w:rsidR="6D1A6D2D" w:rsidRPr="32AE4765">
        <w:t>quantitative</w:t>
      </w:r>
      <w:r w:rsidR="2D237036" w:rsidRPr="32AE4765">
        <w:t xml:space="preserve"> </w:t>
      </w:r>
      <w:r w:rsidRPr="32AE4765">
        <w:t>criteria</w:t>
      </w:r>
      <w:r w:rsidR="2C6FBCDF" w:rsidRPr="32AE4765">
        <w:t xml:space="preserve"> set out </w:t>
      </w:r>
      <w:r w:rsidR="33BB0D37">
        <w:t xml:space="preserve">in Table 1 </w:t>
      </w:r>
      <w:r w:rsidR="2C6FBCDF" w:rsidRPr="32AE4765">
        <w:t>above</w:t>
      </w:r>
      <w:r w:rsidRPr="32AE4765">
        <w:t>.</w:t>
      </w:r>
    </w:p>
    <w:p w14:paraId="5B5FA3FE" w14:textId="54C05441" w:rsidR="00DC1DCB" w:rsidRPr="00496FC6" w:rsidRDefault="00DC1DCB">
      <w:pPr>
        <w:pStyle w:val="Heading2"/>
        <w:numPr>
          <w:ilvl w:val="1"/>
          <w:numId w:val="2"/>
        </w:numPr>
        <w:rPr>
          <w:rFonts w:asciiTheme="minorHAnsi" w:hAnsiTheme="minorHAnsi" w:cstheme="minorBidi"/>
        </w:rPr>
      </w:pPr>
      <w:bookmarkStart w:id="7" w:name="_Toc68933967"/>
      <w:bookmarkStart w:id="8" w:name="_Toc139016555"/>
      <w:r w:rsidRPr="3498C462">
        <w:rPr>
          <w:rFonts w:asciiTheme="minorHAnsi" w:hAnsiTheme="minorHAnsi" w:cstheme="minorBidi"/>
        </w:rPr>
        <w:t>Regulatory Framework</w:t>
      </w:r>
      <w:bookmarkEnd w:id="7"/>
      <w:bookmarkEnd w:id="8"/>
    </w:p>
    <w:p w14:paraId="3E2ED5C1" w14:textId="421A5531" w:rsidR="00DC1DCB" w:rsidRPr="00496FC6" w:rsidRDefault="00DC1DCB" w:rsidP="00B51B7E">
      <w:pPr>
        <w:ind w:left="0"/>
        <w:rPr>
          <w:lang w:val="en-US"/>
        </w:rPr>
      </w:pPr>
      <w:r>
        <w:br/>
      </w:r>
      <w:r w:rsidRPr="32AE4765">
        <w:t>Th</w:t>
      </w:r>
      <w:r w:rsidR="004E5F7C" w:rsidRPr="32AE4765">
        <w:t>is</w:t>
      </w:r>
      <w:r w:rsidRPr="32AE4765">
        <w:t xml:space="preserve"> </w:t>
      </w:r>
      <w:r w:rsidR="2F9D40E0" w:rsidRPr="32AE4765">
        <w:t>document</w:t>
      </w:r>
      <w:r w:rsidR="006C1E1A">
        <w:t xml:space="preserve"> </w:t>
      </w:r>
      <w:r w:rsidR="133070CA" w:rsidRPr="32AE4765">
        <w:t>has</w:t>
      </w:r>
      <w:r w:rsidRPr="32AE4765">
        <w:t xml:space="preserve"> been prepared in accordance with the </w:t>
      </w:r>
      <w:r w:rsidR="386D55D0" w:rsidRPr="32AE4765">
        <w:t xml:space="preserve">Investment Firms Prudential Regime (“IFPR”) which is </w:t>
      </w:r>
      <w:r w:rsidR="133070CA" w:rsidRPr="32AE4765">
        <w:t xml:space="preserve">the </w:t>
      </w:r>
      <w:r w:rsidRPr="32AE4765">
        <w:rPr>
          <w:color w:val="000000" w:themeColor="text1"/>
        </w:rPr>
        <w:t>regulatory regime for investment firms that the FCA has adopted</w:t>
      </w:r>
      <w:r w:rsidR="6113CDB3" w:rsidRPr="32AE4765">
        <w:rPr>
          <w:color w:val="000000" w:themeColor="text1"/>
        </w:rPr>
        <w:t xml:space="preserve">. </w:t>
      </w:r>
      <w:r w:rsidRPr="32AE4765">
        <w:rPr>
          <w:lang w:val="en-US"/>
        </w:rPr>
        <w:t xml:space="preserve">The IFPR </w:t>
      </w:r>
      <w:r w:rsidRPr="32AE4765">
        <w:t xml:space="preserve">establishes the prudential requirements </w:t>
      </w:r>
      <w:r w:rsidR="4BE0B688" w:rsidRPr="32AE4765">
        <w:t xml:space="preserve">for </w:t>
      </w:r>
      <w:r w:rsidR="000A095F">
        <w:t>f</w:t>
      </w:r>
      <w:r w:rsidR="00712105">
        <w:t>irms</w:t>
      </w:r>
      <w:r w:rsidR="133070CA" w:rsidRPr="32AE4765">
        <w:t xml:space="preserve"> </w:t>
      </w:r>
      <w:r w:rsidRPr="32AE4765">
        <w:rPr>
          <w:lang w:val="en-US"/>
        </w:rPr>
        <w:t xml:space="preserve">in terms of own funds, </w:t>
      </w:r>
      <w:r w:rsidR="435108A2" w:rsidRPr="32AE4765">
        <w:rPr>
          <w:lang w:val="en-US"/>
        </w:rPr>
        <w:t xml:space="preserve">the </w:t>
      </w:r>
      <w:r w:rsidRPr="32AE4765">
        <w:rPr>
          <w:lang w:val="en-US"/>
        </w:rPr>
        <w:t xml:space="preserve">level of minimum capital, concentration risk, liquidity requirements and level of activity with respect to UK investment firms. The disclosure requirements are described in MIFIDPRU 8. </w:t>
      </w:r>
    </w:p>
    <w:p w14:paraId="25CB144D" w14:textId="273CDE86" w:rsidR="00DC1DCB" w:rsidRPr="00496FC6" w:rsidRDefault="00DC1DCB" w:rsidP="00DC1DCB">
      <w:pPr>
        <w:autoSpaceDE w:val="0"/>
        <w:autoSpaceDN w:val="0"/>
        <w:adjustRightInd w:val="0"/>
        <w:ind w:left="0"/>
        <w:rPr>
          <w:color w:val="000000"/>
          <w:lang w:eastAsia="en-GB"/>
        </w:rPr>
      </w:pPr>
      <w:r w:rsidRPr="32AE4765">
        <w:rPr>
          <w:color w:val="000000" w:themeColor="text1"/>
          <w:lang w:eastAsia="en-GB"/>
        </w:rPr>
        <w:t xml:space="preserve">The </w:t>
      </w:r>
      <w:r w:rsidR="00802FB9">
        <w:rPr>
          <w:color w:val="000000" w:themeColor="text1"/>
          <w:lang w:eastAsia="en-GB"/>
        </w:rPr>
        <w:t>Group</w:t>
      </w:r>
      <w:r w:rsidRPr="32AE4765">
        <w:rPr>
          <w:color w:val="000000" w:themeColor="text1"/>
          <w:lang w:eastAsia="en-GB"/>
        </w:rPr>
        <w:t xml:space="preserve">’s policy is to publish the disclosures required on an annual basis. </w:t>
      </w:r>
      <w:r w:rsidR="3B3E0669" w:rsidRPr="32AE4765">
        <w:rPr>
          <w:color w:val="000000" w:themeColor="text1"/>
          <w:lang w:eastAsia="en-GB"/>
        </w:rPr>
        <w:t>Th</w:t>
      </w:r>
      <w:r w:rsidR="5BFDCF01" w:rsidRPr="32AE4765">
        <w:rPr>
          <w:color w:val="000000" w:themeColor="text1"/>
          <w:lang w:eastAsia="en-GB"/>
        </w:rPr>
        <w:t xml:space="preserve">e </w:t>
      </w:r>
      <w:r w:rsidR="00802FB9">
        <w:rPr>
          <w:color w:val="000000" w:themeColor="text1"/>
          <w:lang w:eastAsia="en-GB"/>
        </w:rPr>
        <w:t>Group</w:t>
      </w:r>
      <w:r w:rsidR="5BFDCF01" w:rsidRPr="32AE4765">
        <w:rPr>
          <w:color w:val="000000" w:themeColor="text1"/>
          <w:lang w:eastAsia="en-GB"/>
        </w:rPr>
        <w:t xml:space="preserve"> will consider whether disclosure is required on a more frequent </w:t>
      </w:r>
      <w:r w:rsidR="00A75F1A">
        <w:rPr>
          <w:color w:val="000000" w:themeColor="text1"/>
          <w:lang w:eastAsia="en-GB"/>
        </w:rPr>
        <w:t xml:space="preserve">or ad hoc </w:t>
      </w:r>
      <w:r w:rsidR="5BFDCF01" w:rsidRPr="32AE4765">
        <w:rPr>
          <w:color w:val="000000" w:themeColor="text1"/>
          <w:lang w:eastAsia="en-GB"/>
        </w:rPr>
        <w:t xml:space="preserve">basis </w:t>
      </w:r>
      <w:proofErr w:type="gramStart"/>
      <w:r w:rsidR="425DB7BF" w:rsidRPr="32AE4765">
        <w:rPr>
          <w:color w:val="000000" w:themeColor="text1"/>
          <w:lang w:eastAsia="en-GB"/>
        </w:rPr>
        <w:t>in the event that</w:t>
      </w:r>
      <w:proofErr w:type="gramEnd"/>
      <w:r w:rsidR="425DB7BF" w:rsidRPr="32AE4765">
        <w:rPr>
          <w:color w:val="000000" w:themeColor="text1"/>
          <w:lang w:eastAsia="en-GB"/>
        </w:rPr>
        <w:t xml:space="preserve"> there is a</w:t>
      </w:r>
      <w:r w:rsidRPr="32AE4765">
        <w:rPr>
          <w:color w:val="000000" w:themeColor="text1"/>
          <w:lang w:eastAsia="en-GB"/>
        </w:rPr>
        <w:t xml:space="preserve"> material change in approach used for the calculation of capital, business structure or regulatory requirements.</w:t>
      </w:r>
    </w:p>
    <w:p w14:paraId="35574039" w14:textId="621AC4AC" w:rsidR="002C5184" w:rsidRPr="00496FC6" w:rsidRDefault="002C5184">
      <w:pPr>
        <w:pStyle w:val="Heading2"/>
        <w:numPr>
          <w:ilvl w:val="1"/>
          <w:numId w:val="2"/>
        </w:numPr>
        <w:rPr>
          <w:rFonts w:asciiTheme="minorHAnsi" w:hAnsiTheme="minorHAnsi" w:cstheme="minorBidi"/>
          <w:lang w:eastAsia="en-GB"/>
        </w:rPr>
      </w:pPr>
      <w:bookmarkStart w:id="9" w:name="_Toc406863257"/>
      <w:bookmarkStart w:id="10" w:name="_Toc139016556"/>
      <w:r w:rsidRPr="3498C462">
        <w:rPr>
          <w:rFonts w:asciiTheme="minorHAnsi" w:hAnsiTheme="minorHAnsi" w:cstheme="minorBidi"/>
          <w:lang w:eastAsia="en-GB"/>
        </w:rPr>
        <w:t>Declaration of the Board</w:t>
      </w:r>
      <w:bookmarkEnd w:id="9"/>
      <w:bookmarkEnd w:id="10"/>
    </w:p>
    <w:p w14:paraId="5BFAC91C" w14:textId="66F70F7A" w:rsidR="002C5184" w:rsidRPr="00496FC6" w:rsidRDefault="002C5184" w:rsidP="002C5184">
      <w:pPr>
        <w:ind w:left="0"/>
        <w:rPr>
          <w:lang w:eastAsia="en-GB"/>
        </w:rPr>
      </w:pPr>
      <w:r>
        <w:br/>
      </w:r>
      <w:r w:rsidRPr="35CD6004">
        <w:rPr>
          <w:lang w:eastAsia="en-GB"/>
        </w:rPr>
        <w:t>The Board</w:t>
      </w:r>
      <w:r w:rsidR="133D08C3" w:rsidRPr="35CD6004">
        <w:rPr>
          <w:lang w:eastAsia="en-GB"/>
        </w:rPr>
        <w:t xml:space="preserve"> </w:t>
      </w:r>
      <w:r w:rsidR="133D08C3" w:rsidRPr="291B30A7">
        <w:rPr>
          <w:lang w:eastAsia="en-GB"/>
        </w:rPr>
        <w:t xml:space="preserve">of Directors of the </w:t>
      </w:r>
      <w:r w:rsidR="0077254F">
        <w:rPr>
          <w:lang w:eastAsia="en-GB"/>
        </w:rPr>
        <w:t xml:space="preserve">LAML </w:t>
      </w:r>
      <w:r w:rsidR="00802FB9">
        <w:rPr>
          <w:lang w:eastAsia="en-GB"/>
        </w:rPr>
        <w:t>Group</w:t>
      </w:r>
      <w:r w:rsidR="133D08C3" w:rsidRPr="291B30A7">
        <w:rPr>
          <w:lang w:eastAsia="en-GB"/>
        </w:rPr>
        <w:t xml:space="preserve"> (the “Board”)</w:t>
      </w:r>
      <w:r w:rsidRPr="35CD6004">
        <w:rPr>
          <w:lang w:eastAsia="en-GB"/>
        </w:rPr>
        <w:t xml:space="preserve"> </w:t>
      </w:r>
      <w:r w:rsidR="00C3512E" w:rsidRPr="35CD6004">
        <w:rPr>
          <w:lang w:eastAsia="en-GB"/>
        </w:rPr>
        <w:t>performs</w:t>
      </w:r>
      <w:r w:rsidRPr="35CD6004">
        <w:rPr>
          <w:lang w:eastAsia="en-GB"/>
        </w:rPr>
        <w:t xml:space="preserve"> an </w:t>
      </w:r>
      <w:r w:rsidR="6689D768" w:rsidRPr="291B30A7">
        <w:rPr>
          <w:lang w:eastAsia="en-GB"/>
        </w:rPr>
        <w:t>assessment</w:t>
      </w:r>
      <w:r w:rsidR="6A61990D" w:rsidRPr="291B30A7">
        <w:rPr>
          <w:lang w:eastAsia="en-GB"/>
        </w:rPr>
        <w:t xml:space="preserve"> on</w:t>
      </w:r>
      <w:r w:rsidR="625CAD4B" w:rsidRPr="291B30A7">
        <w:rPr>
          <w:lang w:eastAsia="en-GB"/>
        </w:rPr>
        <w:t xml:space="preserve"> at least an annual basis of</w:t>
      </w:r>
      <w:r w:rsidRPr="35CD6004">
        <w:rPr>
          <w:lang w:eastAsia="en-GB"/>
        </w:rPr>
        <w:t xml:space="preserve"> the adequacy of the </w:t>
      </w:r>
      <w:r w:rsidR="0077254F">
        <w:rPr>
          <w:lang w:eastAsia="en-GB"/>
        </w:rPr>
        <w:t>Group’s</w:t>
      </w:r>
      <w:r w:rsidRPr="35CD6004">
        <w:rPr>
          <w:lang w:eastAsia="en-GB"/>
        </w:rPr>
        <w:t xml:space="preserve"> risk management framework and ensure</w:t>
      </w:r>
      <w:r w:rsidR="001E4ED9" w:rsidRPr="35CD6004">
        <w:rPr>
          <w:lang w:eastAsia="en-GB"/>
        </w:rPr>
        <w:t>s</w:t>
      </w:r>
      <w:r w:rsidRPr="35CD6004">
        <w:rPr>
          <w:lang w:eastAsia="en-GB"/>
        </w:rPr>
        <w:t xml:space="preserve"> that the risk management arrangements and systems of financial and internal control in place are in line with the </w:t>
      </w:r>
      <w:r w:rsidR="0077254F">
        <w:rPr>
          <w:lang w:eastAsia="en-GB"/>
        </w:rPr>
        <w:t>Group</w:t>
      </w:r>
      <w:r w:rsidRPr="35CD6004">
        <w:rPr>
          <w:lang w:eastAsia="en-GB"/>
        </w:rPr>
        <w:t>’s risk profile.</w:t>
      </w:r>
    </w:p>
    <w:p w14:paraId="37F7E303" w14:textId="23B2772E" w:rsidR="002C5184" w:rsidRPr="00496FC6" w:rsidRDefault="002C5184" w:rsidP="002C5184">
      <w:pPr>
        <w:ind w:left="0"/>
        <w:rPr>
          <w:lang w:eastAsia="en-GB"/>
        </w:rPr>
      </w:pPr>
      <w:r w:rsidRPr="291B30A7">
        <w:rPr>
          <w:lang w:eastAsia="en-GB"/>
        </w:rPr>
        <w:t xml:space="preserve">The </w:t>
      </w:r>
      <w:r w:rsidR="0077254F">
        <w:rPr>
          <w:lang w:eastAsia="en-GB"/>
        </w:rPr>
        <w:t>Group</w:t>
      </w:r>
      <w:r w:rsidRPr="291B30A7">
        <w:rPr>
          <w:lang w:eastAsia="en-GB"/>
        </w:rPr>
        <w:t xml:space="preserve">’s risk management framework is designed to identify, assess, </w:t>
      </w:r>
      <w:proofErr w:type="gramStart"/>
      <w:r w:rsidRPr="291B30A7">
        <w:rPr>
          <w:lang w:eastAsia="en-GB"/>
        </w:rPr>
        <w:t>mitigate</w:t>
      </w:r>
      <w:proofErr w:type="gramEnd"/>
      <w:r w:rsidRPr="291B30A7">
        <w:rPr>
          <w:lang w:eastAsia="en-GB"/>
        </w:rPr>
        <w:t xml:space="preserve"> and monitor all sources of risk that could have a material impact on the</w:t>
      </w:r>
      <w:r w:rsidR="008B2C13">
        <w:rPr>
          <w:lang w:eastAsia="en-GB"/>
        </w:rPr>
        <w:t xml:space="preserve"> Group</w:t>
      </w:r>
      <w:r w:rsidRPr="291B30A7">
        <w:rPr>
          <w:lang w:eastAsia="en-GB"/>
        </w:rPr>
        <w:t xml:space="preserve">’s operations. The Board considers that the </w:t>
      </w:r>
      <w:r w:rsidR="0077254F">
        <w:rPr>
          <w:lang w:eastAsia="en-GB"/>
        </w:rPr>
        <w:t>Group</w:t>
      </w:r>
      <w:r w:rsidRPr="291B30A7">
        <w:rPr>
          <w:lang w:eastAsia="en-GB"/>
        </w:rPr>
        <w:t xml:space="preserve"> has in place adequate systems and controls with regards to its size, risk profile and strategy and an appropriate array of </w:t>
      </w:r>
      <w:r w:rsidR="00D7796A" w:rsidRPr="291B30A7">
        <w:rPr>
          <w:lang w:eastAsia="en-GB"/>
        </w:rPr>
        <w:t xml:space="preserve">properly resourced </w:t>
      </w:r>
      <w:r w:rsidR="3D2E2800" w:rsidRPr="7F3F34CE">
        <w:rPr>
          <w:lang w:eastAsia="en-GB"/>
        </w:rPr>
        <w:t>risk</w:t>
      </w:r>
      <w:r w:rsidR="0527B9EC" w:rsidRPr="3498C462">
        <w:rPr>
          <w:lang w:eastAsia="en-GB"/>
        </w:rPr>
        <w:t xml:space="preserve"> mitigation</w:t>
      </w:r>
      <w:r w:rsidRPr="291B30A7">
        <w:rPr>
          <w:lang w:eastAsia="en-GB"/>
        </w:rPr>
        <w:t xml:space="preserve"> mechanisms to avoid or minimise loss</w:t>
      </w:r>
      <w:r w:rsidR="2365E565" w:rsidRPr="291B30A7">
        <w:rPr>
          <w:lang w:eastAsia="en-GB"/>
        </w:rPr>
        <w:t xml:space="preserve"> to the</w:t>
      </w:r>
      <w:r w:rsidR="0077254F">
        <w:rPr>
          <w:lang w:eastAsia="en-GB"/>
        </w:rPr>
        <w:t xml:space="preserve"> Group</w:t>
      </w:r>
      <w:r w:rsidR="6A61990D" w:rsidRPr="291B30A7">
        <w:rPr>
          <w:lang w:eastAsia="en-GB"/>
        </w:rPr>
        <w:t>.</w:t>
      </w:r>
      <w:r w:rsidRPr="291B30A7">
        <w:rPr>
          <w:lang w:eastAsia="en-GB"/>
        </w:rPr>
        <w:t xml:space="preserve"> </w:t>
      </w:r>
    </w:p>
    <w:p w14:paraId="276FF363" w14:textId="18C31875" w:rsidR="00DC1DCB" w:rsidRPr="00496FC6" w:rsidRDefault="00DC1DCB">
      <w:pPr>
        <w:pStyle w:val="Heading1"/>
        <w:numPr>
          <w:ilvl w:val="0"/>
          <w:numId w:val="2"/>
        </w:numPr>
        <w:spacing w:line="276" w:lineRule="auto"/>
        <w:rPr>
          <w:rFonts w:asciiTheme="minorHAnsi" w:hAnsiTheme="minorHAnsi" w:cstheme="minorBidi"/>
        </w:rPr>
      </w:pPr>
      <w:bookmarkStart w:id="11" w:name="_Toc218033289"/>
      <w:bookmarkStart w:id="12" w:name="_Toc139016557"/>
      <w:r w:rsidRPr="291B30A7">
        <w:rPr>
          <w:rFonts w:asciiTheme="minorHAnsi" w:hAnsiTheme="minorHAnsi" w:cstheme="minorBidi"/>
        </w:rPr>
        <w:lastRenderedPageBreak/>
        <w:t>Risk Management Objectives and Policies</w:t>
      </w:r>
      <w:bookmarkEnd w:id="11"/>
      <w:bookmarkEnd w:id="12"/>
      <w:r w:rsidR="002C5184" w:rsidRPr="291B30A7">
        <w:rPr>
          <w:rFonts w:asciiTheme="minorHAnsi" w:hAnsiTheme="minorHAnsi" w:cstheme="minorBidi"/>
        </w:rPr>
        <w:t xml:space="preserve"> </w:t>
      </w:r>
    </w:p>
    <w:p w14:paraId="218FDF2F" w14:textId="24FC40A0" w:rsidR="00DC1DCB" w:rsidRPr="00496FC6" w:rsidRDefault="00DC1DCB" w:rsidP="00DC1DCB">
      <w:pPr>
        <w:autoSpaceDE w:val="0"/>
        <w:autoSpaceDN w:val="0"/>
        <w:adjustRightInd w:val="0"/>
        <w:ind w:left="0"/>
        <w:rPr>
          <w:rFonts w:cstheme="minorHAnsi"/>
          <w:color w:val="000000"/>
          <w:lang w:eastAsia="en-GB"/>
        </w:rPr>
      </w:pPr>
      <w:bookmarkStart w:id="13" w:name="_Hlk96414451"/>
      <w:r w:rsidRPr="00496FC6">
        <w:rPr>
          <w:rFonts w:cstheme="minorHAnsi"/>
          <w:color w:val="000000"/>
          <w:lang w:eastAsia="en-GB"/>
        </w:rPr>
        <w:br/>
        <w:t>To ensure effective risk management, the</w:t>
      </w:r>
      <w:r w:rsidR="0077254F">
        <w:rPr>
          <w:rFonts w:cstheme="minorHAnsi"/>
          <w:color w:val="000000"/>
          <w:lang w:eastAsia="en-GB"/>
        </w:rPr>
        <w:t xml:space="preserve"> Group</w:t>
      </w:r>
      <w:r w:rsidRPr="00496FC6">
        <w:rPr>
          <w:rFonts w:cstheme="minorHAnsi"/>
          <w:color w:val="000000"/>
          <w:lang w:eastAsia="en-GB"/>
        </w:rPr>
        <w:t xml:space="preserve"> has adopted the Three Lines of Defence model, with clearly defined roles and responsibilities.</w:t>
      </w:r>
    </w:p>
    <w:p w14:paraId="2771E298" w14:textId="54AC4E36" w:rsidR="00DC1DCB" w:rsidRPr="00496FC6" w:rsidRDefault="00DC1DCB" w:rsidP="00DC1DCB">
      <w:pPr>
        <w:autoSpaceDE w:val="0"/>
        <w:autoSpaceDN w:val="0"/>
        <w:adjustRightInd w:val="0"/>
        <w:ind w:left="0"/>
        <w:rPr>
          <w:color w:val="000000"/>
          <w:lang w:eastAsia="en-GB"/>
        </w:rPr>
      </w:pPr>
      <w:r w:rsidRPr="291B30A7">
        <w:rPr>
          <w:b/>
          <w:color w:val="000000" w:themeColor="text1"/>
          <w:u w:val="single"/>
          <w:lang w:eastAsia="en-GB"/>
        </w:rPr>
        <w:t>First Line of Defence:</w:t>
      </w:r>
      <w:r w:rsidRPr="291B30A7">
        <w:rPr>
          <w:color w:val="000000" w:themeColor="text1"/>
          <w:lang w:eastAsia="en-GB"/>
        </w:rPr>
        <w:t xml:space="preserve"> </w:t>
      </w:r>
      <w:r w:rsidR="0E5B4139" w:rsidRPr="7F3F34CE">
        <w:rPr>
          <w:color w:val="000000" w:themeColor="text1"/>
          <w:lang w:eastAsia="en-GB"/>
        </w:rPr>
        <w:t>M</w:t>
      </w:r>
      <w:r w:rsidR="66CFD040" w:rsidRPr="7F3F34CE">
        <w:rPr>
          <w:color w:val="000000" w:themeColor="text1"/>
          <w:lang w:eastAsia="en-GB"/>
        </w:rPr>
        <w:t>anagement</w:t>
      </w:r>
      <w:r w:rsidR="1CC83F99" w:rsidRPr="3498C462">
        <w:rPr>
          <w:color w:val="000000" w:themeColor="text1"/>
          <w:lang w:eastAsia="en-GB"/>
        </w:rPr>
        <w:t xml:space="preserve"> </w:t>
      </w:r>
      <w:r w:rsidR="32787957" w:rsidRPr="3498C462">
        <w:rPr>
          <w:color w:val="000000" w:themeColor="text1"/>
          <w:lang w:eastAsia="en-GB"/>
        </w:rPr>
        <w:t>and senior employees</w:t>
      </w:r>
      <w:r w:rsidRPr="291B30A7">
        <w:rPr>
          <w:color w:val="000000" w:themeColor="text1"/>
          <w:lang w:eastAsia="en-GB"/>
        </w:rPr>
        <w:t xml:space="preserve"> are responsible for establishing an effective control framework within their area of operation and identifying and controlling risks so that they are operating within the organisational risk appetite and are compliant with the </w:t>
      </w:r>
      <w:r w:rsidR="00FA4DE9">
        <w:rPr>
          <w:color w:val="000000" w:themeColor="text1"/>
          <w:lang w:eastAsia="en-GB"/>
        </w:rPr>
        <w:t>Group</w:t>
      </w:r>
      <w:r w:rsidRPr="291B30A7">
        <w:rPr>
          <w:color w:val="000000" w:themeColor="text1"/>
          <w:lang w:eastAsia="en-GB"/>
        </w:rPr>
        <w:t>’s policies and where appropriate defined thresholds. The First Line of Defence</w:t>
      </w:r>
      <w:r w:rsidRPr="291B30A7" w:rsidDel="009B55F2">
        <w:rPr>
          <w:color w:val="000000" w:themeColor="text1"/>
          <w:lang w:eastAsia="en-GB"/>
        </w:rPr>
        <w:t xml:space="preserve"> </w:t>
      </w:r>
      <w:r w:rsidR="7EECE91D" w:rsidRPr="3498C462">
        <w:rPr>
          <w:color w:val="000000" w:themeColor="text1"/>
          <w:lang w:eastAsia="en-GB"/>
        </w:rPr>
        <w:t>is</w:t>
      </w:r>
      <w:r w:rsidR="4523CCAD" w:rsidRPr="3498C462">
        <w:rPr>
          <w:color w:val="000000" w:themeColor="text1"/>
          <w:lang w:eastAsia="en-GB"/>
        </w:rPr>
        <w:t xml:space="preserve"> responsible for ensuring issues are escalated in a timely </w:t>
      </w:r>
      <w:r w:rsidR="562B71B2" w:rsidRPr="3498C462">
        <w:rPr>
          <w:color w:val="000000" w:themeColor="text1"/>
          <w:lang w:eastAsia="en-GB"/>
        </w:rPr>
        <w:t>fashion</w:t>
      </w:r>
      <w:r w:rsidR="4523CCAD" w:rsidRPr="3498C462">
        <w:rPr>
          <w:color w:val="000000" w:themeColor="text1"/>
          <w:lang w:eastAsia="en-GB"/>
        </w:rPr>
        <w:t xml:space="preserve"> and accordingly</w:t>
      </w:r>
      <w:r w:rsidRPr="291B30A7" w:rsidDel="009B55F2">
        <w:rPr>
          <w:color w:val="000000" w:themeColor="text1"/>
          <w:lang w:eastAsia="en-GB"/>
        </w:rPr>
        <w:t xml:space="preserve"> </w:t>
      </w:r>
      <w:r w:rsidRPr="291B30A7">
        <w:rPr>
          <w:color w:val="000000" w:themeColor="text1"/>
          <w:lang w:eastAsia="en-GB"/>
        </w:rPr>
        <w:t>acts as an early warning mechanism for identifying (or remedying) risks or failures.</w:t>
      </w:r>
    </w:p>
    <w:p w14:paraId="570EB6DC" w14:textId="441E73EA" w:rsidR="00DC1DCB" w:rsidRPr="00496FC6" w:rsidRDefault="00DC1DCB" w:rsidP="00DC1DCB">
      <w:pPr>
        <w:autoSpaceDE w:val="0"/>
        <w:autoSpaceDN w:val="0"/>
        <w:adjustRightInd w:val="0"/>
        <w:ind w:left="0"/>
        <w:rPr>
          <w:color w:val="000000"/>
          <w:lang w:eastAsia="en-GB"/>
        </w:rPr>
      </w:pPr>
      <w:r w:rsidRPr="291B30A7">
        <w:rPr>
          <w:b/>
          <w:color w:val="000000" w:themeColor="text1"/>
          <w:u w:val="single"/>
          <w:lang w:eastAsia="en-GB"/>
        </w:rPr>
        <w:t>Second Line of Defence</w:t>
      </w:r>
      <w:r w:rsidRPr="291B30A7">
        <w:rPr>
          <w:color w:val="000000" w:themeColor="text1"/>
          <w:lang w:eastAsia="en-GB"/>
        </w:rPr>
        <w:t xml:space="preserve">: The </w:t>
      </w:r>
      <w:r w:rsidRPr="291B30A7" w:rsidDel="00EA4316">
        <w:rPr>
          <w:color w:val="000000" w:themeColor="text1"/>
          <w:lang w:eastAsia="en-GB"/>
        </w:rPr>
        <w:t xml:space="preserve">Risk </w:t>
      </w:r>
      <w:r w:rsidR="00EA4316" w:rsidRPr="291B30A7">
        <w:rPr>
          <w:color w:val="000000" w:themeColor="text1"/>
          <w:lang w:eastAsia="en-GB"/>
        </w:rPr>
        <w:t>Committee</w:t>
      </w:r>
      <w:r w:rsidRPr="291B30A7">
        <w:rPr>
          <w:color w:val="000000" w:themeColor="text1"/>
          <w:lang w:eastAsia="en-GB"/>
        </w:rPr>
        <w:t xml:space="preserve"> is responsible for proposing to the Board appropriate objectives and measures to define the </w:t>
      </w:r>
      <w:r w:rsidR="00FA4DE9">
        <w:rPr>
          <w:color w:val="000000" w:themeColor="text1"/>
          <w:lang w:eastAsia="en-GB"/>
        </w:rPr>
        <w:t>Group</w:t>
      </w:r>
      <w:r w:rsidRPr="291B30A7">
        <w:rPr>
          <w:color w:val="000000" w:themeColor="text1"/>
          <w:lang w:eastAsia="en-GB"/>
        </w:rPr>
        <w:t xml:space="preserve">’s risk appetite, devising the suite of policies necessary to control the business including the overarching framework, independently monitoring the </w:t>
      </w:r>
      <w:r w:rsidR="00FA4DE9">
        <w:rPr>
          <w:color w:val="000000" w:themeColor="text1"/>
          <w:lang w:eastAsia="en-GB"/>
        </w:rPr>
        <w:t>Group</w:t>
      </w:r>
      <w:r w:rsidRPr="291B30A7">
        <w:rPr>
          <w:color w:val="000000" w:themeColor="text1"/>
          <w:lang w:eastAsia="en-GB"/>
        </w:rPr>
        <w:t>’s risk profile</w:t>
      </w:r>
      <w:r w:rsidR="00596837" w:rsidRPr="291B30A7">
        <w:rPr>
          <w:color w:val="000000" w:themeColor="text1"/>
          <w:lang w:eastAsia="en-GB"/>
        </w:rPr>
        <w:t>,</w:t>
      </w:r>
      <w:r w:rsidRPr="291B30A7">
        <w:rPr>
          <w:color w:val="000000" w:themeColor="text1"/>
          <w:lang w:eastAsia="en-GB"/>
        </w:rPr>
        <w:t xml:space="preserve"> and providing additional assurance where required. The Risk </w:t>
      </w:r>
      <w:r w:rsidR="00EA4316" w:rsidRPr="291B30A7">
        <w:rPr>
          <w:color w:val="000000" w:themeColor="text1"/>
          <w:lang w:eastAsia="en-GB"/>
        </w:rPr>
        <w:t>Committee</w:t>
      </w:r>
      <w:r w:rsidRPr="291B30A7">
        <w:rPr>
          <w:color w:val="000000" w:themeColor="text1"/>
          <w:lang w:eastAsia="en-GB"/>
        </w:rPr>
        <w:t xml:space="preserve"> will leverage their expertise by providing frameworks, </w:t>
      </w:r>
      <w:proofErr w:type="gramStart"/>
      <w:r w:rsidRPr="291B30A7">
        <w:rPr>
          <w:color w:val="000000" w:themeColor="text1"/>
          <w:lang w:eastAsia="en-GB"/>
        </w:rPr>
        <w:t>tools</w:t>
      </w:r>
      <w:proofErr w:type="gramEnd"/>
      <w:r w:rsidRPr="291B30A7">
        <w:rPr>
          <w:color w:val="000000" w:themeColor="text1"/>
          <w:lang w:eastAsia="en-GB"/>
        </w:rPr>
        <w:t xml:space="preserve"> and techniques to assist management in meeting their responsibilities, as well as acting as a central coordinator to identify </w:t>
      </w:r>
      <w:r w:rsidR="2007B181" w:rsidRPr="291B30A7">
        <w:rPr>
          <w:color w:val="000000" w:themeColor="text1"/>
          <w:lang w:eastAsia="en-GB"/>
        </w:rPr>
        <w:t>firm</w:t>
      </w:r>
      <w:r w:rsidRPr="291B30A7">
        <w:rPr>
          <w:color w:val="000000" w:themeColor="text1"/>
          <w:lang w:eastAsia="en-GB"/>
        </w:rPr>
        <w:t xml:space="preserve">-wide risks and </w:t>
      </w:r>
      <w:r w:rsidR="78658E33" w:rsidRPr="7F3F34CE">
        <w:rPr>
          <w:color w:val="000000" w:themeColor="text1"/>
          <w:lang w:eastAsia="en-GB"/>
        </w:rPr>
        <w:t>mak</w:t>
      </w:r>
      <w:r w:rsidR="0686EC48" w:rsidRPr="7F3F34CE">
        <w:rPr>
          <w:color w:val="000000" w:themeColor="text1"/>
          <w:lang w:eastAsia="en-GB"/>
        </w:rPr>
        <w:t>ing</w:t>
      </w:r>
      <w:r w:rsidRPr="291B30A7">
        <w:rPr>
          <w:color w:val="000000" w:themeColor="text1"/>
          <w:lang w:eastAsia="en-GB"/>
        </w:rPr>
        <w:t xml:space="preserve"> recommendations to address them. Integral to the mission of the Second Line of Defence</w:t>
      </w:r>
      <w:r w:rsidRPr="291B30A7" w:rsidDel="009B55F2">
        <w:rPr>
          <w:color w:val="000000" w:themeColor="text1"/>
          <w:lang w:eastAsia="en-GB"/>
        </w:rPr>
        <w:t xml:space="preserve"> </w:t>
      </w:r>
      <w:r w:rsidRPr="291B30A7">
        <w:rPr>
          <w:color w:val="000000" w:themeColor="text1"/>
          <w:lang w:eastAsia="en-GB"/>
        </w:rPr>
        <w:t>is identifying risk areas, detecting situations/activities in need of monitoring, and developing policies to formalise risk assessment, mitigation</w:t>
      </w:r>
      <w:r w:rsidR="00097300" w:rsidRPr="291B30A7">
        <w:rPr>
          <w:color w:val="000000" w:themeColor="text1"/>
          <w:lang w:eastAsia="en-GB"/>
        </w:rPr>
        <w:t>,</w:t>
      </w:r>
      <w:r w:rsidRPr="291B30A7">
        <w:rPr>
          <w:color w:val="000000" w:themeColor="text1"/>
          <w:lang w:eastAsia="en-GB"/>
        </w:rPr>
        <w:t xml:space="preserve"> and monitoring.</w:t>
      </w:r>
    </w:p>
    <w:p w14:paraId="6A8A075C" w14:textId="71449FAA" w:rsidR="00DC1DCB" w:rsidRPr="00496FC6" w:rsidRDefault="00DC1DCB" w:rsidP="00DC1DCB">
      <w:pPr>
        <w:autoSpaceDE w:val="0"/>
        <w:autoSpaceDN w:val="0"/>
        <w:adjustRightInd w:val="0"/>
        <w:ind w:left="0"/>
        <w:rPr>
          <w:color w:val="000000"/>
          <w:lang w:eastAsia="en-GB"/>
        </w:rPr>
      </w:pPr>
      <w:r w:rsidRPr="291B30A7">
        <w:rPr>
          <w:b/>
          <w:color w:val="000000" w:themeColor="text1"/>
          <w:u w:val="single"/>
          <w:lang w:eastAsia="en-GB"/>
        </w:rPr>
        <w:t xml:space="preserve">Third Line of Defence: </w:t>
      </w:r>
      <w:r w:rsidR="00C34E4A" w:rsidRPr="291B30A7">
        <w:rPr>
          <w:color w:val="000000" w:themeColor="text1"/>
          <w:lang w:eastAsia="en-GB"/>
        </w:rPr>
        <w:t>The</w:t>
      </w:r>
      <w:r w:rsidRPr="291B30A7">
        <w:rPr>
          <w:color w:val="000000" w:themeColor="text1"/>
          <w:lang w:eastAsia="en-GB"/>
        </w:rPr>
        <w:t xml:space="preserve"> Internal Audit Function is</w:t>
      </w:r>
      <w:r w:rsidRPr="291B30A7" w:rsidDel="00A40DAF">
        <w:rPr>
          <w:color w:val="000000" w:themeColor="text1"/>
          <w:lang w:eastAsia="en-GB"/>
        </w:rPr>
        <w:t xml:space="preserve"> </w:t>
      </w:r>
      <w:r w:rsidR="3849E392" w:rsidRPr="3498C462">
        <w:rPr>
          <w:color w:val="000000" w:themeColor="text1"/>
          <w:lang w:eastAsia="en-GB"/>
        </w:rPr>
        <w:t xml:space="preserve">independent of the First and Second Lines of Defence and is </w:t>
      </w:r>
      <w:r w:rsidRPr="291B30A7">
        <w:rPr>
          <w:color w:val="000000" w:themeColor="text1"/>
          <w:lang w:eastAsia="en-GB"/>
        </w:rPr>
        <w:t xml:space="preserve">responsible for providing </w:t>
      </w:r>
      <w:r w:rsidR="4A37566E" w:rsidRPr="3498C462">
        <w:rPr>
          <w:color w:val="000000" w:themeColor="text1"/>
          <w:lang w:eastAsia="en-GB"/>
        </w:rPr>
        <w:t xml:space="preserve">reliable and objective </w:t>
      </w:r>
      <w:r w:rsidRPr="291B30A7">
        <w:rPr>
          <w:color w:val="000000" w:themeColor="text1"/>
          <w:lang w:eastAsia="en-GB"/>
        </w:rPr>
        <w:t xml:space="preserve">assurance to the Board on the adequacy of </w:t>
      </w:r>
      <w:r w:rsidR="00175616" w:rsidRPr="291B30A7">
        <w:rPr>
          <w:color w:val="000000" w:themeColor="text1"/>
          <w:lang w:eastAsia="en-GB"/>
        </w:rPr>
        <w:t xml:space="preserve">the </w:t>
      </w:r>
      <w:r w:rsidRPr="291B30A7">
        <w:rPr>
          <w:color w:val="000000" w:themeColor="text1"/>
          <w:lang w:eastAsia="en-GB"/>
        </w:rPr>
        <w:t>design and operational effectiveness of the systems of internal control.</w:t>
      </w:r>
      <w:r w:rsidR="00211993">
        <w:rPr>
          <w:color w:val="000000" w:themeColor="text1"/>
          <w:lang w:eastAsia="en-GB"/>
        </w:rPr>
        <w:t xml:space="preserve"> </w:t>
      </w:r>
      <w:r w:rsidRPr="291B30A7">
        <w:rPr>
          <w:color w:val="000000" w:themeColor="text1"/>
          <w:lang w:eastAsia="en-GB"/>
        </w:rPr>
        <w:t xml:space="preserve"> Internal Audit undertakes on-site </w:t>
      </w:r>
      <w:r w:rsidR="7E022E1C" w:rsidRPr="3498C462">
        <w:rPr>
          <w:color w:val="000000" w:themeColor="text1"/>
          <w:lang w:eastAsia="en-GB"/>
        </w:rPr>
        <w:t xml:space="preserve">visits </w:t>
      </w:r>
      <w:r w:rsidRPr="291B30A7">
        <w:rPr>
          <w:color w:val="000000" w:themeColor="text1"/>
          <w:lang w:eastAsia="en-GB"/>
        </w:rPr>
        <w:t xml:space="preserve">to ensure that the responsibilities of each </w:t>
      </w:r>
      <w:r w:rsidR="3F74D2A6" w:rsidRPr="291B30A7">
        <w:rPr>
          <w:color w:val="000000" w:themeColor="text1"/>
          <w:lang w:eastAsia="en-GB"/>
        </w:rPr>
        <w:t>f</w:t>
      </w:r>
      <w:r w:rsidRPr="291B30A7">
        <w:rPr>
          <w:color w:val="000000" w:themeColor="text1"/>
          <w:lang w:eastAsia="en-GB"/>
        </w:rPr>
        <w:t xml:space="preserve">unction are discharged properly as well as reviewing the </w:t>
      </w:r>
      <w:r w:rsidR="00FA4DE9">
        <w:rPr>
          <w:color w:val="000000" w:themeColor="text1"/>
          <w:lang w:eastAsia="en-GB"/>
        </w:rPr>
        <w:t>Group</w:t>
      </w:r>
      <w:r w:rsidRPr="291B30A7">
        <w:rPr>
          <w:color w:val="000000" w:themeColor="text1"/>
          <w:lang w:eastAsia="en-GB"/>
        </w:rPr>
        <w:t>’s relevant policies and procedures. Internal Audit works closely with both the First and Second Lines of Defence</w:t>
      </w:r>
      <w:r w:rsidRPr="291B30A7" w:rsidDel="009B55F2">
        <w:rPr>
          <w:color w:val="000000" w:themeColor="text1"/>
          <w:lang w:eastAsia="en-GB"/>
        </w:rPr>
        <w:t xml:space="preserve"> </w:t>
      </w:r>
      <w:r w:rsidRPr="291B30A7">
        <w:rPr>
          <w:color w:val="000000" w:themeColor="text1"/>
          <w:lang w:eastAsia="en-GB"/>
        </w:rPr>
        <w:t>to ensure that its findings and recommendations are taken into consideration and followed, as applicable.</w:t>
      </w:r>
    </w:p>
    <w:p w14:paraId="61B8EEC7" w14:textId="3171E234" w:rsidR="002C5184" w:rsidRPr="00584192" w:rsidRDefault="002C5184">
      <w:pPr>
        <w:pStyle w:val="Heading2"/>
        <w:numPr>
          <w:ilvl w:val="1"/>
          <w:numId w:val="2"/>
        </w:numPr>
        <w:rPr>
          <w:rFonts w:asciiTheme="minorHAnsi" w:hAnsiTheme="minorHAnsi" w:cstheme="minorBidi"/>
          <w:lang w:eastAsia="en-GB"/>
        </w:rPr>
      </w:pPr>
      <w:bookmarkStart w:id="14" w:name="_Toc423457743"/>
      <w:bookmarkStart w:id="15" w:name="_Toc139016558"/>
      <w:r w:rsidRPr="3498C462">
        <w:rPr>
          <w:rFonts w:asciiTheme="minorHAnsi" w:hAnsiTheme="minorHAnsi" w:cstheme="minorBidi"/>
          <w:lang w:eastAsia="en-GB"/>
        </w:rPr>
        <w:t>Risk Management Framework</w:t>
      </w:r>
      <w:bookmarkEnd w:id="14"/>
      <w:bookmarkEnd w:id="15"/>
    </w:p>
    <w:p w14:paraId="687B2DB6" w14:textId="3A98AB16" w:rsidR="002C5184" w:rsidRPr="00496FC6" w:rsidRDefault="002C5184" w:rsidP="002C5184">
      <w:pPr>
        <w:spacing w:before="240"/>
        <w:ind w:left="0"/>
        <w:rPr>
          <w:rFonts w:cstheme="minorHAnsi"/>
        </w:rPr>
      </w:pPr>
      <w:r w:rsidRPr="00496FC6">
        <w:rPr>
          <w:rFonts w:cstheme="minorHAnsi"/>
        </w:rPr>
        <w:t xml:space="preserve">Managing risk effectively in a continuously changing risk environment requires a strong risk management culture. As a result, the </w:t>
      </w:r>
      <w:r w:rsidR="00AB3527">
        <w:rPr>
          <w:rFonts w:cstheme="minorHAnsi"/>
        </w:rPr>
        <w:t>Group</w:t>
      </w:r>
      <w:r w:rsidRPr="00496FC6">
        <w:rPr>
          <w:rFonts w:cstheme="minorHAnsi"/>
        </w:rPr>
        <w:t xml:space="preserve"> has established an effective risk oversight structure and the necessary internal organisational controls to ensure that </w:t>
      </w:r>
      <w:r w:rsidR="0037518F">
        <w:rPr>
          <w:rFonts w:cstheme="minorHAnsi"/>
        </w:rPr>
        <w:t>it</w:t>
      </w:r>
      <w:r w:rsidRPr="00496FC6">
        <w:rPr>
          <w:rFonts w:cstheme="minorHAnsi"/>
        </w:rPr>
        <w:t xml:space="preserve"> undertakes the following:</w:t>
      </w:r>
    </w:p>
    <w:p w14:paraId="58957F19" w14:textId="77777777" w:rsidR="002C5184" w:rsidRPr="00496FC6" w:rsidRDefault="002C5184">
      <w:pPr>
        <w:pStyle w:val="ListParagraph"/>
        <w:numPr>
          <w:ilvl w:val="0"/>
          <w:numId w:val="4"/>
        </w:numPr>
        <w:spacing w:after="200" w:line="276" w:lineRule="auto"/>
        <w:rPr>
          <w:rFonts w:cstheme="minorHAnsi"/>
        </w:rPr>
      </w:pPr>
      <w:r w:rsidRPr="00496FC6">
        <w:rPr>
          <w:rFonts w:cstheme="minorHAnsi"/>
        </w:rPr>
        <w:t>Adequate risk identification and management,</w:t>
      </w:r>
    </w:p>
    <w:p w14:paraId="7A39D611" w14:textId="38854DBB" w:rsidR="002C5184" w:rsidRPr="00496FC6" w:rsidRDefault="002C5184">
      <w:pPr>
        <w:pStyle w:val="ListParagraph"/>
        <w:numPr>
          <w:ilvl w:val="0"/>
          <w:numId w:val="4"/>
        </w:numPr>
        <w:spacing w:after="200" w:line="276" w:lineRule="auto"/>
        <w:rPr>
          <w:rFonts w:cstheme="minorHAnsi"/>
        </w:rPr>
      </w:pPr>
      <w:r w:rsidRPr="00496FC6">
        <w:rPr>
          <w:rFonts w:cstheme="minorHAnsi"/>
        </w:rPr>
        <w:t>Establishment of necessary policies and procedures,</w:t>
      </w:r>
    </w:p>
    <w:p w14:paraId="17D65146" w14:textId="77777777" w:rsidR="002C5184" w:rsidRPr="00496FC6" w:rsidRDefault="002C5184">
      <w:pPr>
        <w:pStyle w:val="ListParagraph"/>
        <w:numPr>
          <w:ilvl w:val="0"/>
          <w:numId w:val="4"/>
        </w:numPr>
        <w:spacing w:after="200" w:line="276" w:lineRule="auto"/>
        <w:rPr>
          <w:rFonts w:cstheme="minorHAnsi"/>
        </w:rPr>
      </w:pPr>
      <w:r w:rsidRPr="00496FC6">
        <w:rPr>
          <w:rFonts w:cstheme="minorHAnsi"/>
        </w:rPr>
        <w:t>Setting and monitoring of relevant limits, and</w:t>
      </w:r>
    </w:p>
    <w:p w14:paraId="13F8B117" w14:textId="3D9F9F9A" w:rsidR="002C5184" w:rsidRPr="00496FC6" w:rsidRDefault="002C5184">
      <w:pPr>
        <w:pStyle w:val="ListParagraph"/>
        <w:numPr>
          <w:ilvl w:val="0"/>
          <w:numId w:val="4"/>
        </w:numPr>
        <w:spacing w:after="200" w:line="276" w:lineRule="auto"/>
        <w:rPr>
          <w:rFonts w:cstheme="minorHAnsi"/>
        </w:rPr>
      </w:pPr>
      <w:r w:rsidRPr="00496FC6">
        <w:rPr>
          <w:rFonts w:cstheme="minorHAnsi"/>
        </w:rPr>
        <w:t>Compliance with applicable legislation</w:t>
      </w:r>
      <w:r w:rsidR="006C4729">
        <w:rPr>
          <w:rFonts w:cstheme="minorHAnsi"/>
        </w:rPr>
        <w:t xml:space="preserve"> and regulation</w:t>
      </w:r>
      <w:r w:rsidRPr="00496FC6">
        <w:rPr>
          <w:rFonts w:cstheme="minorHAnsi"/>
        </w:rPr>
        <w:t>.</w:t>
      </w:r>
    </w:p>
    <w:p w14:paraId="2F1EB40B" w14:textId="0FAF9DA2" w:rsidR="002C5184" w:rsidRPr="00496FC6" w:rsidRDefault="002C5184" w:rsidP="002C5184">
      <w:pPr>
        <w:ind w:left="0"/>
      </w:pPr>
      <w:bookmarkStart w:id="16" w:name="_Hlk96414532"/>
      <w:r w:rsidRPr="291B30A7">
        <w:t>The Board meets</w:t>
      </w:r>
      <w:r w:rsidR="00CA0624">
        <w:t xml:space="preserve"> quarterly</w:t>
      </w:r>
      <w:r w:rsidR="1B101759" w:rsidRPr="291B30A7">
        <w:t xml:space="preserve"> </w:t>
      </w:r>
      <w:r w:rsidRPr="291B30A7">
        <w:t xml:space="preserve">and receives updates on risk and regulatory capital matters from management. The Board regularly (at least annually) </w:t>
      </w:r>
      <w:r w:rsidR="11493D50" w:rsidRPr="291B30A7">
        <w:t>receives</w:t>
      </w:r>
      <w:r w:rsidRPr="291B30A7" w:rsidDel="6A61990D">
        <w:t xml:space="preserve"> </w:t>
      </w:r>
      <w:r w:rsidRPr="291B30A7">
        <w:t xml:space="preserve">reports </w:t>
      </w:r>
      <w:r w:rsidR="1F1250DD" w:rsidRPr="291B30A7">
        <w:t>and updates</w:t>
      </w:r>
      <w:r w:rsidR="6A61990D" w:rsidRPr="291B30A7">
        <w:t xml:space="preserve"> </w:t>
      </w:r>
      <w:r w:rsidRPr="291B30A7">
        <w:t xml:space="preserve">concerning compliance, risk management and internal audit </w:t>
      </w:r>
      <w:r w:rsidR="6A61990D" w:rsidRPr="291B30A7">
        <w:t>p</w:t>
      </w:r>
      <w:r w:rsidR="7BC44D67" w:rsidRPr="291B30A7">
        <w:t>roce</w:t>
      </w:r>
      <w:r w:rsidR="32E02034" w:rsidRPr="291B30A7">
        <w:t xml:space="preserve">dures </w:t>
      </w:r>
      <w:r w:rsidRPr="291B30A7">
        <w:t xml:space="preserve">as well as the </w:t>
      </w:r>
      <w:r w:rsidR="00AB3527">
        <w:t>Group</w:t>
      </w:r>
      <w:r w:rsidRPr="291B30A7">
        <w:t>’s risk management policies and procedures</w:t>
      </w:r>
      <w:r w:rsidR="38EDC68E" w:rsidDel="00D54B73">
        <w:t xml:space="preserve">. </w:t>
      </w:r>
      <w:r w:rsidRPr="291B30A7">
        <w:t xml:space="preserve">As part of its business activities, </w:t>
      </w:r>
      <w:r w:rsidR="003C4C38" w:rsidRPr="291B30A7">
        <w:t xml:space="preserve">the </w:t>
      </w:r>
      <w:r w:rsidR="00E20439">
        <w:t>Group</w:t>
      </w:r>
      <w:r w:rsidR="005A0968" w:rsidRPr="291B30A7">
        <w:t xml:space="preserve"> </w:t>
      </w:r>
      <w:r w:rsidRPr="291B30A7">
        <w:t>faces a variety of risks, the most significant of which</w:t>
      </w:r>
      <w:r w:rsidR="00961301">
        <w:t xml:space="preserve"> have been</w:t>
      </w:r>
      <w:r w:rsidRPr="291B30A7">
        <w:t xml:space="preserve"> described further below. </w:t>
      </w:r>
    </w:p>
    <w:p w14:paraId="1E2CCBBE" w14:textId="1A6E7330" w:rsidR="002C5184" w:rsidRPr="00496FC6" w:rsidRDefault="002C5184">
      <w:pPr>
        <w:pStyle w:val="Heading2"/>
        <w:numPr>
          <w:ilvl w:val="1"/>
          <w:numId w:val="2"/>
        </w:numPr>
        <w:rPr>
          <w:rFonts w:asciiTheme="minorHAnsi" w:hAnsiTheme="minorHAnsi" w:cstheme="minorBidi"/>
        </w:rPr>
      </w:pPr>
      <w:bookmarkStart w:id="17" w:name="_Toc991587818"/>
      <w:bookmarkStart w:id="18" w:name="_Toc139016559"/>
      <w:r w:rsidRPr="3498C462">
        <w:rPr>
          <w:rFonts w:asciiTheme="minorHAnsi" w:hAnsiTheme="minorHAnsi" w:cstheme="minorBidi"/>
        </w:rPr>
        <w:t>Risk Statement</w:t>
      </w:r>
      <w:bookmarkEnd w:id="17"/>
      <w:bookmarkEnd w:id="18"/>
    </w:p>
    <w:p w14:paraId="4FF4A5DA" w14:textId="03002149" w:rsidR="0081418C" w:rsidRDefault="002C5184" w:rsidP="002C5184">
      <w:pPr>
        <w:ind w:left="0"/>
        <w:rPr>
          <w:lang w:val="en-US"/>
        </w:rPr>
      </w:pPr>
      <w:r>
        <w:br/>
      </w:r>
      <w:r w:rsidRPr="7F3F34CE">
        <w:rPr>
          <w:lang w:val="en-US"/>
        </w:rPr>
        <w:t xml:space="preserve">The </w:t>
      </w:r>
      <w:r w:rsidR="000E7AAF">
        <w:rPr>
          <w:lang w:val="en-US"/>
        </w:rPr>
        <w:t>Group</w:t>
      </w:r>
      <w:r w:rsidRPr="7F3F34CE">
        <w:rPr>
          <w:lang w:val="en-US"/>
        </w:rPr>
        <w:t xml:space="preserve">'s activities expose it to a variety of risks, </w:t>
      </w:r>
      <w:proofErr w:type="gramStart"/>
      <w:r w:rsidRPr="7F3F34CE">
        <w:rPr>
          <w:lang w:val="en-US"/>
        </w:rPr>
        <w:t>in particular to</w:t>
      </w:r>
      <w:proofErr w:type="gramEnd"/>
      <w:r w:rsidR="00DA26DA" w:rsidRPr="7F3F34CE">
        <w:rPr>
          <w:lang w:val="en-US"/>
        </w:rPr>
        <w:t xml:space="preserve"> </w:t>
      </w:r>
      <w:r w:rsidR="003254B3">
        <w:rPr>
          <w:lang w:val="en-US"/>
        </w:rPr>
        <w:t>outsourcing risk, market risk</w:t>
      </w:r>
      <w:r w:rsidR="00D00FCB">
        <w:rPr>
          <w:lang w:val="en-US"/>
        </w:rPr>
        <w:t>, i</w:t>
      </w:r>
      <w:r w:rsidR="003254B3">
        <w:rPr>
          <w:lang w:val="en-US"/>
        </w:rPr>
        <w:t xml:space="preserve">nvestment risk, reputational risk, </w:t>
      </w:r>
      <w:r w:rsidR="00F076BB" w:rsidRPr="7F3F34CE">
        <w:rPr>
          <w:lang w:val="en-US"/>
        </w:rPr>
        <w:t>operational risk</w:t>
      </w:r>
      <w:r w:rsidR="00BE4A7F">
        <w:rPr>
          <w:lang w:val="en-US"/>
        </w:rPr>
        <w:t xml:space="preserve"> </w:t>
      </w:r>
      <w:r w:rsidR="00715BA2" w:rsidRPr="7F3F34CE">
        <w:rPr>
          <w:lang w:val="en-US"/>
        </w:rPr>
        <w:t>and information</w:t>
      </w:r>
      <w:r w:rsidR="00AB157D" w:rsidRPr="7F3F34CE">
        <w:rPr>
          <w:lang w:val="en-US"/>
        </w:rPr>
        <w:t xml:space="preserve"> technology</w:t>
      </w:r>
      <w:r w:rsidR="00715BA2" w:rsidRPr="7F3F34CE">
        <w:rPr>
          <w:lang w:val="en-US"/>
        </w:rPr>
        <w:t>/cyber</w:t>
      </w:r>
      <w:r w:rsidR="0034089C" w:rsidRPr="7F3F34CE">
        <w:rPr>
          <w:lang w:val="en-US"/>
        </w:rPr>
        <w:t xml:space="preserve"> security risk. </w:t>
      </w:r>
      <w:r w:rsidR="006E5CB6" w:rsidRPr="7F3F34CE">
        <w:rPr>
          <w:lang w:val="en-US"/>
        </w:rPr>
        <w:t xml:space="preserve">The </w:t>
      </w:r>
      <w:r w:rsidR="000E7AAF">
        <w:rPr>
          <w:lang w:val="en-US"/>
        </w:rPr>
        <w:t>Group</w:t>
      </w:r>
      <w:r w:rsidR="006E5CB6" w:rsidRPr="7F3F34CE">
        <w:rPr>
          <w:lang w:val="en-US"/>
        </w:rPr>
        <w:t xml:space="preserve">’s </w:t>
      </w:r>
      <w:r w:rsidR="00362518" w:rsidRPr="7F3F34CE">
        <w:rPr>
          <w:lang w:val="en-US"/>
        </w:rPr>
        <w:t xml:space="preserve">approach to risk including its </w:t>
      </w:r>
      <w:r w:rsidR="001E5DA1" w:rsidRPr="7F3F34CE">
        <w:rPr>
          <w:lang w:val="en-US"/>
        </w:rPr>
        <w:t>risk strategy and risk appetite have been described in further detail below.</w:t>
      </w:r>
    </w:p>
    <w:p w14:paraId="2AA0D275" w14:textId="77777777" w:rsidR="001B6821" w:rsidRDefault="001B6821" w:rsidP="002C5184">
      <w:pPr>
        <w:ind w:left="0"/>
        <w:rPr>
          <w:rFonts w:cstheme="minorHAnsi"/>
          <w:b/>
          <w:lang w:val="en-US"/>
        </w:rPr>
      </w:pPr>
    </w:p>
    <w:p w14:paraId="706D22E1" w14:textId="31561F1F" w:rsidR="002C5184" w:rsidRPr="00496FC6" w:rsidRDefault="002C5184" w:rsidP="002C5184">
      <w:pPr>
        <w:ind w:left="0"/>
        <w:rPr>
          <w:rFonts w:cstheme="minorHAnsi"/>
          <w:b/>
        </w:rPr>
      </w:pPr>
      <w:r w:rsidRPr="00496FC6">
        <w:rPr>
          <w:rFonts w:cstheme="minorHAnsi"/>
          <w:b/>
          <w:lang w:val="en-US"/>
        </w:rPr>
        <w:lastRenderedPageBreak/>
        <w:t>Risk Strategy</w:t>
      </w:r>
    </w:p>
    <w:p w14:paraId="1CDB81CE" w14:textId="4EF805EE" w:rsidR="002C5184" w:rsidRPr="00496FC6" w:rsidRDefault="002C5184" w:rsidP="002C5184">
      <w:pPr>
        <w:ind w:left="0"/>
        <w:rPr>
          <w:lang w:val="en-US"/>
        </w:rPr>
      </w:pPr>
      <w:bookmarkStart w:id="19" w:name="_Hlk96414640"/>
      <w:r w:rsidRPr="3498C462">
        <w:rPr>
          <w:lang w:val="en-US"/>
        </w:rPr>
        <w:t xml:space="preserve">The risk strategy of the </w:t>
      </w:r>
      <w:r w:rsidR="004B112D">
        <w:rPr>
          <w:lang w:val="en-US"/>
        </w:rPr>
        <w:t>Group</w:t>
      </w:r>
      <w:r w:rsidRPr="3498C462">
        <w:rPr>
          <w:lang w:val="en-US"/>
        </w:rPr>
        <w:t xml:space="preserve"> is </w:t>
      </w:r>
      <w:r w:rsidR="00CB1C53" w:rsidRPr="3498C462">
        <w:rPr>
          <w:lang w:val="en-US"/>
        </w:rPr>
        <w:t>a</w:t>
      </w:r>
      <w:r w:rsidRPr="3498C462">
        <w:rPr>
          <w:lang w:val="en-US"/>
        </w:rPr>
        <w:t xml:space="preserve"> responsibility of the Board, which formulates and is responsible for monitoring its implementation. This is achieved through the development of risk management processes and procedures as well as through an assessment of the risks undertaken and the effectiveness of the risk management framework, given the </w:t>
      </w:r>
      <w:r w:rsidR="000373B8">
        <w:rPr>
          <w:lang w:val="en-US"/>
        </w:rPr>
        <w:t>Group</w:t>
      </w:r>
      <w:r w:rsidRPr="3498C462">
        <w:rPr>
          <w:lang w:val="en-US"/>
        </w:rPr>
        <w:t xml:space="preserve">’s business model. One important characteristic of the </w:t>
      </w:r>
      <w:r w:rsidR="000373B8">
        <w:rPr>
          <w:lang w:val="en-US"/>
        </w:rPr>
        <w:t>Group</w:t>
      </w:r>
      <w:r w:rsidRPr="3498C462">
        <w:rPr>
          <w:lang w:val="en-US"/>
        </w:rPr>
        <w:t xml:space="preserve">’s risk strategy is </w:t>
      </w:r>
      <w:r w:rsidR="6D6E054C" w:rsidRPr="7F3F34CE">
        <w:rPr>
          <w:lang w:val="en-US"/>
        </w:rPr>
        <w:t>its</w:t>
      </w:r>
      <w:r w:rsidRPr="3498C462">
        <w:rPr>
          <w:lang w:val="en-US"/>
        </w:rPr>
        <w:t xml:space="preserve"> alignment with the strategic and operational targets that are set by the Board. </w:t>
      </w:r>
    </w:p>
    <w:p w14:paraId="69086C65" w14:textId="25EA56A0" w:rsidR="002C5184" w:rsidRPr="00496FC6" w:rsidRDefault="002C5184" w:rsidP="002C5184">
      <w:pPr>
        <w:ind w:left="0"/>
        <w:rPr>
          <w:rFonts w:cstheme="minorHAnsi"/>
          <w:lang w:val="en-US"/>
        </w:rPr>
      </w:pPr>
      <w:r w:rsidRPr="00496FC6">
        <w:rPr>
          <w:rFonts w:cstheme="minorHAnsi"/>
          <w:lang w:val="en-US"/>
        </w:rPr>
        <w:t xml:space="preserve">The risks that arise from the implementation of the </w:t>
      </w:r>
      <w:r w:rsidR="000373B8">
        <w:rPr>
          <w:rFonts w:cstheme="minorHAnsi"/>
          <w:lang w:val="en-US"/>
        </w:rPr>
        <w:t>Group</w:t>
      </w:r>
      <w:r w:rsidRPr="00496FC6">
        <w:rPr>
          <w:rFonts w:cstheme="minorHAnsi"/>
          <w:lang w:val="en-US"/>
        </w:rPr>
        <w:t xml:space="preserve">’s strategic and business plans are regularly </w:t>
      </w:r>
      <w:proofErr w:type="spellStart"/>
      <w:r w:rsidRPr="00496FC6">
        <w:rPr>
          <w:rFonts w:cstheme="minorHAnsi"/>
          <w:lang w:val="en-US"/>
        </w:rPr>
        <w:t>analy</w:t>
      </w:r>
      <w:r w:rsidR="007070A6">
        <w:rPr>
          <w:rFonts w:cstheme="minorHAnsi"/>
          <w:lang w:val="en-US"/>
        </w:rPr>
        <w:t>s</w:t>
      </w:r>
      <w:r w:rsidRPr="00496FC6">
        <w:rPr>
          <w:rFonts w:cstheme="minorHAnsi"/>
          <w:lang w:val="en-US"/>
        </w:rPr>
        <w:t>ed</w:t>
      </w:r>
      <w:proofErr w:type="spellEnd"/>
      <w:r w:rsidRPr="00496FC6">
        <w:rPr>
          <w:rFonts w:cstheme="minorHAnsi"/>
          <w:lang w:val="en-US"/>
        </w:rPr>
        <w:t xml:space="preserve"> </w:t>
      </w:r>
      <w:proofErr w:type="gramStart"/>
      <w:r w:rsidRPr="00496FC6">
        <w:rPr>
          <w:rFonts w:cstheme="minorHAnsi"/>
          <w:lang w:val="en-US"/>
        </w:rPr>
        <w:t>in order to</w:t>
      </w:r>
      <w:proofErr w:type="gramEnd"/>
      <w:r w:rsidRPr="00496FC6">
        <w:rPr>
          <w:rFonts w:cstheme="minorHAnsi"/>
          <w:lang w:val="en-US"/>
        </w:rPr>
        <w:t xml:space="preserve"> ensure the adequacy of the relevant policies, procedures and systems.</w:t>
      </w:r>
    </w:p>
    <w:p w14:paraId="6090999E" w14:textId="0F3F25FA" w:rsidR="002C5184" w:rsidRPr="00496FC6" w:rsidRDefault="002C5184" w:rsidP="002C5184">
      <w:pPr>
        <w:ind w:left="0"/>
        <w:rPr>
          <w:lang w:val="en-US"/>
        </w:rPr>
      </w:pPr>
      <w:r w:rsidRPr="3498C462">
        <w:rPr>
          <w:lang w:val="en-US"/>
        </w:rPr>
        <w:t xml:space="preserve">The risk strategy of the </w:t>
      </w:r>
      <w:r w:rsidR="000373B8">
        <w:rPr>
          <w:lang w:val="en-US"/>
        </w:rPr>
        <w:t>Group</w:t>
      </w:r>
      <w:r w:rsidRPr="3498C462">
        <w:rPr>
          <w:lang w:val="en-US"/>
        </w:rPr>
        <w:t xml:space="preserve"> aims to provide to both </w:t>
      </w:r>
      <w:r w:rsidR="5FD9EB88" w:rsidRPr="7F3F34CE">
        <w:rPr>
          <w:lang w:val="en-US"/>
        </w:rPr>
        <w:t>s</w:t>
      </w:r>
      <w:r w:rsidR="6F627F44" w:rsidRPr="7F3F34CE">
        <w:rPr>
          <w:lang w:val="en-US"/>
        </w:rPr>
        <w:t xml:space="preserve">enior </w:t>
      </w:r>
      <w:r w:rsidR="2FD3333F" w:rsidRPr="7F3F34CE">
        <w:rPr>
          <w:lang w:val="en-US"/>
        </w:rPr>
        <w:t>m</w:t>
      </w:r>
      <w:r w:rsidR="319699C0" w:rsidRPr="7F3F34CE">
        <w:rPr>
          <w:lang w:val="en-US"/>
        </w:rPr>
        <w:t xml:space="preserve">anagement </w:t>
      </w:r>
      <w:r w:rsidRPr="3498C462">
        <w:rPr>
          <w:lang w:val="en-US"/>
        </w:rPr>
        <w:t xml:space="preserve">and employees a general risk framework for the management of the different types of risks in line with the overall risk management and risk bearing capacity of the </w:t>
      </w:r>
      <w:r w:rsidR="000373B8">
        <w:rPr>
          <w:lang w:val="en-US"/>
        </w:rPr>
        <w:t>Group</w:t>
      </w:r>
      <w:r w:rsidRPr="3498C462">
        <w:rPr>
          <w:lang w:val="en-US"/>
        </w:rPr>
        <w:t xml:space="preserve">. The </w:t>
      </w:r>
      <w:r w:rsidR="000373B8">
        <w:rPr>
          <w:lang w:val="en-US"/>
        </w:rPr>
        <w:t>Group</w:t>
      </w:r>
      <w:r w:rsidRPr="3498C462">
        <w:rPr>
          <w:lang w:val="en-US"/>
        </w:rPr>
        <w:t xml:space="preserve"> recognizes the importance of risk management to its business’ success, and therefore the overall objective is to establish effective risk management policies </w:t>
      </w:r>
      <w:r w:rsidR="004F412F">
        <w:rPr>
          <w:lang w:val="en-US"/>
        </w:rPr>
        <w:t xml:space="preserve">that are </w:t>
      </w:r>
      <w:r w:rsidR="00D04E70">
        <w:rPr>
          <w:lang w:val="en-US"/>
        </w:rPr>
        <w:t>designed</w:t>
      </w:r>
      <w:r w:rsidRPr="3498C462">
        <w:rPr>
          <w:lang w:val="en-US"/>
        </w:rPr>
        <w:t xml:space="preserve"> to mitigate the </w:t>
      </w:r>
      <w:r w:rsidR="000373B8">
        <w:rPr>
          <w:lang w:val="en-US"/>
        </w:rPr>
        <w:t>Group</w:t>
      </w:r>
      <w:r w:rsidRPr="3498C462">
        <w:rPr>
          <w:lang w:val="en-US"/>
        </w:rPr>
        <w:t>’s exposure to various risks.</w:t>
      </w:r>
    </w:p>
    <w:p w14:paraId="1FADF8A3" w14:textId="77777777" w:rsidR="002C5184" w:rsidRPr="00496FC6" w:rsidRDefault="002C5184" w:rsidP="002C5184">
      <w:pPr>
        <w:ind w:left="0"/>
        <w:rPr>
          <w:rFonts w:cstheme="minorHAnsi"/>
          <w:b/>
        </w:rPr>
      </w:pPr>
      <w:r w:rsidRPr="00496FC6">
        <w:rPr>
          <w:rFonts w:cstheme="minorHAnsi"/>
          <w:b/>
          <w:lang w:val="en-US"/>
        </w:rPr>
        <w:t>Risk Appetite</w:t>
      </w:r>
    </w:p>
    <w:p w14:paraId="4225C6D2" w14:textId="7A1F0265" w:rsidR="00947856" w:rsidRPr="00496FC6" w:rsidRDefault="00FC1C9E" w:rsidP="3498C462">
      <w:pPr>
        <w:spacing w:before="240"/>
        <w:ind w:left="0"/>
      </w:pPr>
      <w:r w:rsidRPr="3498C462">
        <w:t xml:space="preserve">Risk appetite is defined as the </w:t>
      </w:r>
      <w:r w:rsidR="00B55598">
        <w:t>Group</w:t>
      </w:r>
      <w:r w:rsidRPr="3498C462">
        <w:t xml:space="preserve">’s willingness to accept risks in pursuit of its objectives. Risk appetite is assessed against the </w:t>
      </w:r>
      <w:r w:rsidR="00D05C4A">
        <w:t>Group</w:t>
      </w:r>
      <w:r w:rsidRPr="3498C462">
        <w:t xml:space="preserve">’s key drivers of success, which form the basis for the risk appetite. </w:t>
      </w:r>
      <w:r w:rsidR="200A2027" w:rsidRPr="3498C462">
        <w:rPr>
          <w:lang w:val="en-US"/>
        </w:rPr>
        <w:t xml:space="preserve">The Risk Appetite framework has been designed to create links to the strategic long-term plan, capital planning and the </w:t>
      </w:r>
      <w:r w:rsidR="00D05C4A">
        <w:rPr>
          <w:lang w:val="en-US"/>
        </w:rPr>
        <w:t>Group</w:t>
      </w:r>
      <w:r w:rsidR="200A2027" w:rsidRPr="3498C462">
        <w:rPr>
          <w:lang w:val="en-US"/>
        </w:rPr>
        <w:t>’s risk management framework.</w:t>
      </w:r>
      <w:r w:rsidR="200A2027" w:rsidRPr="3498C462">
        <w:t xml:space="preserve"> </w:t>
      </w:r>
    </w:p>
    <w:p w14:paraId="18D2643E" w14:textId="2EB43BB5" w:rsidR="00947856" w:rsidRPr="00496FC6" w:rsidRDefault="00FC1C9E" w:rsidP="00B45042">
      <w:pPr>
        <w:ind w:left="0"/>
      </w:pPr>
      <w:r w:rsidRPr="3498C462">
        <w:t xml:space="preserve">The establishment of the </w:t>
      </w:r>
      <w:r w:rsidR="00D05C4A">
        <w:t>Group</w:t>
      </w:r>
      <w:r w:rsidR="33B0DC89" w:rsidRPr="3498C462">
        <w:t xml:space="preserve">’s risk appetite statement </w:t>
      </w:r>
      <w:r w:rsidR="72303BEB" w:rsidRPr="3498C462">
        <w:t>(the “Risk Appetite Statement”)</w:t>
      </w:r>
      <w:r w:rsidRPr="3498C462">
        <w:t xml:space="preserve"> is intended to guide </w:t>
      </w:r>
      <w:r w:rsidR="409A85B6">
        <w:t>senior</w:t>
      </w:r>
      <w:r w:rsidR="4613FC71" w:rsidRPr="3498C462">
        <w:t xml:space="preserve"> management</w:t>
      </w:r>
      <w:r w:rsidR="66F78215" w:rsidRPr="3498C462">
        <w:t xml:space="preserve"> </w:t>
      </w:r>
      <w:r w:rsidR="03820B97" w:rsidRPr="3498C462">
        <w:t>and other employees</w:t>
      </w:r>
      <w:r w:rsidRPr="3498C462">
        <w:t xml:space="preserve"> in their actions and ability to accept and manage risks. </w:t>
      </w:r>
    </w:p>
    <w:p w14:paraId="51149925" w14:textId="77777777" w:rsidR="000B3A3B" w:rsidRDefault="000B3A3B" w:rsidP="7F3F34CE">
      <w:pPr>
        <w:spacing w:before="240"/>
        <w:ind w:left="0" w:right="-1"/>
      </w:pPr>
      <w:r w:rsidRPr="000B3A3B">
        <w:t xml:space="preserve">LAML has a low tolerance for breaches, errors and financial loss and has implemented processes and procedures to mitigate against potential errors. Senior management, the COO and Compliance are informed of all breaches and errors, which are discussed at the LORC with those material issues being escalated up to the LAML Group Boards.  The LAML Group Boards accept that there is a need to recognise a degree of risk tolerance due to the nature of the current business model as a limited licence firm, primarily in long only equity products following model strategies bought either for segregated mandates or within a fund framework and having a professional client base.  </w:t>
      </w:r>
    </w:p>
    <w:p w14:paraId="52ED6144" w14:textId="316E4099" w:rsidR="002C5184" w:rsidRPr="000B3A3B" w:rsidRDefault="6B67D815" w:rsidP="7F3F34CE">
      <w:pPr>
        <w:spacing w:before="240"/>
        <w:ind w:left="0" w:right="-1"/>
      </w:pPr>
      <w:r w:rsidRPr="3498C462">
        <w:t xml:space="preserve">The </w:t>
      </w:r>
      <w:r w:rsidR="00D05C4A">
        <w:t>Group</w:t>
      </w:r>
      <w:r w:rsidR="002C5184" w:rsidRPr="3498C462">
        <w:t xml:space="preserve">’s Risk Appetite Statement is prepared by the Risk </w:t>
      </w:r>
      <w:r w:rsidR="00851584" w:rsidRPr="3498C462">
        <w:t>Committee</w:t>
      </w:r>
      <w:r w:rsidR="002C5184" w:rsidRPr="3498C462">
        <w:t xml:space="preserve"> and approved by the Board</w:t>
      </w:r>
      <w:r w:rsidR="319699C0">
        <w:t>.</w:t>
      </w:r>
      <w:r w:rsidR="53AE0C82" w:rsidRPr="3498C462">
        <w:t xml:space="preserve"> The </w:t>
      </w:r>
      <w:r w:rsidR="00D05C4A">
        <w:t>Group</w:t>
      </w:r>
      <w:r w:rsidR="53AE0C82" w:rsidRPr="3498C462">
        <w:t xml:space="preserve"> employs mitigation techniques defined within the </w:t>
      </w:r>
      <w:r w:rsidR="00D05C4A">
        <w:t>Group</w:t>
      </w:r>
      <w:r w:rsidR="53AE0C82" w:rsidRPr="3498C462">
        <w:t>’s policies, to ensure risks are managed within its risk appetite.</w:t>
      </w:r>
    </w:p>
    <w:p w14:paraId="728BB24A" w14:textId="5F91D125" w:rsidR="002C5184" w:rsidRPr="00496FC6" w:rsidRDefault="319699C0" w:rsidP="00047A34">
      <w:pPr>
        <w:ind w:left="0" w:right="-1"/>
        <w:jc w:val="left"/>
        <w:rPr>
          <w:b/>
          <w:bCs/>
        </w:rPr>
      </w:pPr>
      <w:r w:rsidRPr="7F3F34CE">
        <w:rPr>
          <w:b/>
          <w:bCs/>
        </w:rPr>
        <w:t>Risk Culture</w:t>
      </w:r>
    </w:p>
    <w:bookmarkEnd w:id="19"/>
    <w:p w14:paraId="09823303" w14:textId="3464C244" w:rsidR="002C5184" w:rsidRPr="00496FC6" w:rsidRDefault="002C5184" w:rsidP="7F3F34CE">
      <w:pPr>
        <w:ind w:left="0" w:right="-1"/>
      </w:pPr>
      <w:r w:rsidRPr="3498C462">
        <w:t xml:space="preserve">Risk culture is a critical element in the </w:t>
      </w:r>
      <w:r w:rsidR="00BA7C53">
        <w:t>Group</w:t>
      </w:r>
      <w:r w:rsidRPr="3498C462">
        <w:t xml:space="preserve">’s risk management framework and procedures. Management considers risk awareness and culture within the </w:t>
      </w:r>
      <w:r w:rsidR="00BA7C53">
        <w:t>Group</w:t>
      </w:r>
      <w:r w:rsidRPr="3498C462">
        <w:t xml:space="preserve"> as an important part of the effective risk management process. </w:t>
      </w:r>
      <w:r w:rsidR="001E01B0" w:rsidRPr="3498C462">
        <w:t>Et</w:t>
      </w:r>
      <w:r w:rsidRPr="3498C462">
        <w:t xml:space="preserve">hical behaviour is a key component of the strong risk culture, its importance is </w:t>
      </w:r>
      <w:r w:rsidR="40012F2F" w:rsidRPr="3498C462">
        <w:t xml:space="preserve">reinforced through </w:t>
      </w:r>
      <w:r w:rsidR="6ECD2F18">
        <w:t xml:space="preserve">the </w:t>
      </w:r>
      <w:r w:rsidR="00BA7C53">
        <w:t>Group</w:t>
      </w:r>
      <w:r w:rsidR="6ECD2F18">
        <w:t xml:space="preserve">’s </w:t>
      </w:r>
      <w:r w:rsidR="40012F2F" w:rsidRPr="3498C462">
        <w:t xml:space="preserve">code of conduct and senior management who lead by example and set an appropriate tone from the top. </w:t>
      </w:r>
    </w:p>
    <w:p w14:paraId="4C7DAE4A" w14:textId="39C091E5" w:rsidR="002C5184" w:rsidRPr="00496FC6" w:rsidRDefault="002C5184" w:rsidP="002C5184">
      <w:pPr>
        <w:ind w:left="0"/>
      </w:pPr>
      <w:r w:rsidRPr="3498C462">
        <w:t xml:space="preserve">The </w:t>
      </w:r>
      <w:r w:rsidR="00BA7C53">
        <w:t>Group</w:t>
      </w:r>
      <w:r w:rsidRPr="3498C462">
        <w:t xml:space="preserve"> is committed to embedding a strong risk culture throughout the business where </w:t>
      </w:r>
      <w:r w:rsidR="0BDC1346">
        <w:t>employees</w:t>
      </w:r>
      <w:r w:rsidR="2D080533" w:rsidRPr="3498C462">
        <w:t xml:space="preserve"> understand the</w:t>
      </w:r>
      <w:r w:rsidR="2D080533" w:rsidRPr="3498C462" w:rsidDel="0018473F">
        <w:t xml:space="preserve"> </w:t>
      </w:r>
      <w:r w:rsidRPr="3498C462">
        <w:t>risks they personally manage</w:t>
      </w:r>
      <w:r w:rsidR="28BE6C11" w:rsidRPr="3498C462">
        <w:t xml:space="preserve">, </w:t>
      </w:r>
      <w:r w:rsidR="625A7C3D" w:rsidRPr="3498C462">
        <w:t>the</w:t>
      </w:r>
      <w:r w:rsidRPr="3498C462">
        <w:t xml:space="preserve"> </w:t>
      </w:r>
      <w:r w:rsidR="0663B97F" w:rsidRPr="3498C462">
        <w:t>importance of accountability</w:t>
      </w:r>
      <w:r w:rsidR="5AED4A58" w:rsidRPr="3498C462">
        <w:t xml:space="preserve"> and the</w:t>
      </w:r>
      <w:r w:rsidR="70925874" w:rsidRPr="3498C462">
        <w:t xml:space="preserve"> </w:t>
      </w:r>
      <w:r w:rsidR="00E17895">
        <w:t xml:space="preserve">identification of situation </w:t>
      </w:r>
      <w:r w:rsidR="70925874" w:rsidRPr="3498C462">
        <w:t>in which to escalate issues or seek advice.</w:t>
      </w:r>
      <w:r w:rsidR="5AED4A58" w:rsidRPr="3498C462">
        <w:t xml:space="preserve"> </w:t>
      </w:r>
      <w:r w:rsidR="319699C0">
        <w:t xml:space="preserve"> </w:t>
      </w:r>
    </w:p>
    <w:p w14:paraId="335E68FD" w14:textId="36A7A9A1" w:rsidR="00DF03A6" w:rsidRPr="00847DD2" w:rsidRDefault="00B423A3">
      <w:pPr>
        <w:pStyle w:val="Heading2"/>
        <w:numPr>
          <w:ilvl w:val="1"/>
          <w:numId w:val="2"/>
        </w:numPr>
        <w:rPr>
          <w:rFonts w:asciiTheme="minorHAnsi" w:hAnsiTheme="minorHAnsi" w:cstheme="minorBidi"/>
        </w:rPr>
      </w:pPr>
      <w:bookmarkStart w:id="20" w:name="_Toc1365504327"/>
      <w:bookmarkStart w:id="21" w:name="_Toc139016560"/>
      <w:r w:rsidRPr="00847DD2">
        <w:rPr>
          <w:rFonts w:asciiTheme="minorHAnsi" w:hAnsiTheme="minorHAnsi" w:cstheme="minorBidi"/>
        </w:rPr>
        <w:t>Material Risks</w:t>
      </w:r>
      <w:bookmarkEnd w:id="20"/>
      <w:bookmarkEnd w:id="21"/>
    </w:p>
    <w:p w14:paraId="0E32431A" w14:textId="30A6ABC3" w:rsidR="008769E7" w:rsidRPr="00496FC6" w:rsidRDefault="00B423A3" w:rsidP="00B423A3">
      <w:pPr>
        <w:ind w:left="0"/>
        <w:rPr>
          <w:rFonts w:cstheme="minorHAnsi"/>
        </w:rPr>
      </w:pPr>
      <w:r w:rsidRPr="00496FC6">
        <w:rPr>
          <w:rFonts w:cstheme="minorHAnsi"/>
        </w:rPr>
        <w:br/>
        <w:t xml:space="preserve">In the context of the ICARA process, </w:t>
      </w:r>
      <w:r w:rsidR="001E5CF6">
        <w:rPr>
          <w:rFonts w:cstheme="minorHAnsi"/>
        </w:rPr>
        <w:t xml:space="preserve">the </w:t>
      </w:r>
      <w:r w:rsidR="00BA7C53">
        <w:rPr>
          <w:rFonts w:cstheme="minorHAnsi"/>
        </w:rPr>
        <w:t>Group</w:t>
      </w:r>
      <w:r w:rsidR="006E32D5" w:rsidRPr="001B2E56">
        <w:rPr>
          <w:rFonts w:cstheme="minorHAnsi"/>
        </w:rPr>
        <w:t xml:space="preserve"> has</w:t>
      </w:r>
      <w:r w:rsidR="00496EFF">
        <w:rPr>
          <w:rFonts w:cstheme="minorHAnsi"/>
        </w:rPr>
        <w:t xml:space="preserve"> </w:t>
      </w:r>
      <w:r w:rsidRPr="00496FC6">
        <w:rPr>
          <w:rFonts w:cstheme="minorHAnsi"/>
        </w:rPr>
        <w:t xml:space="preserve">identified the following </w:t>
      </w:r>
      <w:r w:rsidR="00F15876">
        <w:rPr>
          <w:rFonts w:cstheme="minorHAnsi"/>
        </w:rPr>
        <w:t xml:space="preserve">principal risk areas: </w:t>
      </w:r>
    </w:p>
    <w:p w14:paraId="1282DEA8" w14:textId="6DEC7B2B" w:rsidR="003C3467" w:rsidRPr="00445321" w:rsidRDefault="00A77CD9" w:rsidP="00445321">
      <w:pPr>
        <w:pStyle w:val="Heading2"/>
        <w:numPr>
          <w:ilvl w:val="2"/>
          <w:numId w:val="2"/>
        </w:numPr>
        <w:spacing w:before="240" w:after="100" w:afterAutospacing="1"/>
        <w:rPr>
          <w:rFonts w:asciiTheme="minorHAnsi" w:hAnsiTheme="minorHAnsi" w:cstheme="minorBidi"/>
        </w:rPr>
      </w:pPr>
      <w:bookmarkStart w:id="22" w:name="_Toc139016561"/>
      <w:r>
        <w:rPr>
          <w:rFonts w:asciiTheme="minorHAnsi" w:hAnsiTheme="minorHAnsi" w:cstheme="minorBidi"/>
        </w:rPr>
        <w:lastRenderedPageBreak/>
        <w:t>Outsourcing Risk</w:t>
      </w:r>
      <w:bookmarkEnd w:id="22"/>
    </w:p>
    <w:p w14:paraId="1AE015AE" w14:textId="77777777" w:rsidR="00B77686" w:rsidRPr="00EA49BB" w:rsidRDefault="00B77686" w:rsidP="00B77686">
      <w:pPr>
        <w:pStyle w:val="ListParagraph"/>
        <w:ind w:left="0"/>
        <w:rPr>
          <w:rFonts w:cstheme="minorHAnsi"/>
        </w:rPr>
      </w:pPr>
      <w:bookmarkStart w:id="23" w:name="_Toc139016562"/>
      <w:r w:rsidRPr="00EA49BB">
        <w:rPr>
          <w:rFonts w:cstheme="minorHAnsi"/>
        </w:rPr>
        <w:t xml:space="preserve">LAML Group has outsourced much of its </w:t>
      </w:r>
      <w:proofErr w:type="gramStart"/>
      <w:r w:rsidRPr="00EA49BB">
        <w:rPr>
          <w:rFonts w:cstheme="minorHAnsi"/>
        </w:rPr>
        <w:t>back office</w:t>
      </w:r>
      <w:proofErr w:type="gramEnd"/>
      <w:r w:rsidRPr="00EA49BB">
        <w:rPr>
          <w:rFonts w:cstheme="minorHAnsi"/>
        </w:rPr>
        <w:t xml:space="preserve"> operations to third party providers (both intra-group and external) and is therefore exposed to a risk of the poor performance of or even, in an extreme situation, potential failure of the outsourced provider. LAML has outsourced its portfolio recording, settlement reporting, proxy voting and client service reporting operations to LAM LLC.  This relationship still stands, however LAM LLC itself </w:t>
      </w:r>
      <w:proofErr w:type="gramStart"/>
      <w:r w:rsidRPr="00EA49BB">
        <w:rPr>
          <w:rFonts w:cstheme="minorHAnsi"/>
        </w:rPr>
        <w:t>entered into</w:t>
      </w:r>
      <w:proofErr w:type="gramEnd"/>
      <w:r w:rsidRPr="00EA49BB">
        <w:rPr>
          <w:rFonts w:cstheme="minorHAnsi"/>
        </w:rPr>
        <w:t xml:space="preserve"> an outsourcing arrangement with State Street Corporation (a leading custody and investment advisory bank) in the United States in August 2008</w:t>
      </w:r>
      <w:r w:rsidRPr="00EA49BB">
        <w:rPr>
          <w:rFonts w:cstheme="minorHAnsi"/>
          <w:b/>
        </w:rPr>
        <w:t>.</w:t>
      </w:r>
      <w:r w:rsidRPr="00EA49BB">
        <w:rPr>
          <w:rFonts w:cstheme="minorHAnsi"/>
        </w:rPr>
        <w:t xml:space="preserve"> Under this arrangement LAM LLC together with LAML Group have outsourced to State Street, a global mid office operations system, which streamlines LAM’s ability to give more detailed and efficient reporting to its increasing global professional customer base.  </w:t>
      </w:r>
    </w:p>
    <w:p w14:paraId="21AC6178" w14:textId="77777777" w:rsidR="00B77686" w:rsidRPr="00EA49BB" w:rsidRDefault="00B77686" w:rsidP="00B77686">
      <w:pPr>
        <w:pStyle w:val="ListParagraph"/>
        <w:ind w:left="0"/>
        <w:rPr>
          <w:rFonts w:cstheme="minorHAnsi"/>
        </w:rPr>
      </w:pPr>
    </w:p>
    <w:p w14:paraId="6D240757" w14:textId="77777777" w:rsidR="00B77686" w:rsidRPr="00EA49BB" w:rsidRDefault="00B77686" w:rsidP="00B77686">
      <w:pPr>
        <w:pStyle w:val="ListParagraph"/>
        <w:ind w:left="0"/>
        <w:rPr>
          <w:rFonts w:cstheme="minorHAnsi"/>
        </w:rPr>
      </w:pPr>
      <w:r w:rsidRPr="00EA49BB">
        <w:rPr>
          <w:rFonts w:cstheme="minorHAnsi"/>
        </w:rPr>
        <w:t>The LAML Group Boards consider that this arrangement reduces the risk of a system and controls failure given the cost of replacing technology and the increasing specialism in this area and cost of doing business. This</w:t>
      </w:r>
      <w:r>
        <w:rPr>
          <w:rFonts w:cstheme="minorHAnsi"/>
        </w:rPr>
        <w:t xml:space="preserve"> allows the</w:t>
      </w:r>
      <w:r w:rsidRPr="00EA49BB">
        <w:rPr>
          <w:rFonts w:cstheme="minorHAnsi"/>
        </w:rPr>
        <w:t xml:space="preserve"> business to leverage the available technology and greater resource pool within the State Street organisation whilst at the same time, being able to influence the design and requirements of the system. </w:t>
      </w:r>
    </w:p>
    <w:p w14:paraId="1A3A9124" w14:textId="77777777" w:rsidR="00B77686" w:rsidRPr="00EA49BB" w:rsidRDefault="00B77686" w:rsidP="00B77686">
      <w:pPr>
        <w:pStyle w:val="ListParagraph"/>
        <w:ind w:left="0" w:hanging="709"/>
        <w:rPr>
          <w:rFonts w:cstheme="minorHAnsi"/>
        </w:rPr>
      </w:pPr>
    </w:p>
    <w:p w14:paraId="53DEC15B" w14:textId="77777777" w:rsidR="00B77686" w:rsidRPr="00EA49BB" w:rsidRDefault="00B77686" w:rsidP="00B77686">
      <w:pPr>
        <w:pStyle w:val="ListParagraph"/>
        <w:ind w:left="0"/>
        <w:rPr>
          <w:rFonts w:cstheme="minorHAnsi"/>
        </w:rPr>
      </w:pPr>
      <w:r w:rsidRPr="00EA49BB">
        <w:rPr>
          <w:rFonts w:cstheme="minorHAnsi"/>
        </w:rPr>
        <w:t xml:space="preserve">LAML Group has an Outsourcing Steering Committee (LOSC) to document, review and oversee the activities of all outsourcing arrangements supporting </w:t>
      </w:r>
      <w:r>
        <w:rPr>
          <w:rFonts w:cstheme="minorHAnsi"/>
        </w:rPr>
        <w:t>its</w:t>
      </w:r>
      <w:r w:rsidRPr="00EA49BB">
        <w:rPr>
          <w:rFonts w:cstheme="minorHAnsi"/>
        </w:rPr>
        <w:t xml:space="preserve"> Institutional and Fund businesses (UK and Ireland).  The LOSC is a sub-committee of the L</w:t>
      </w:r>
      <w:r>
        <w:rPr>
          <w:rFonts w:cstheme="minorHAnsi"/>
        </w:rPr>
        <w:t>azard</w:t>
      </w:r>
      <w:r w:rsidRPr="00EA49BB">
        <w:rPr>
          <w:rFonts w:cstheme="minorHAnsi"/>
        </w:rPr>
        <w:t xml:space="preserve"> Operating Risk Committee who meet quarterly (or more frequent if required)</w:t>
      </w:r>
      <w:r>
        <w:rPr>
          <w:rFonts w:cstheme="minorHAnsi"/>
        </w:rPr>
        <w:t>.</w:t>
      </w:r>
      <w:r w:rsidRPr="00EA49BB">
        <w:rPr>
          <w:rFonts w:cstheme="minorHAnsi"/>
        </w:rPr>
        <w:t xml:space="preserve"> </w:t>
      </w:r>
    </w:p>
    <w:p w14:paraId="23ACB181" w14:textId="77777777" w:rsidR="00B77686" w:rsidRPr="00EA49BB" w:rsidRDefault="00B77686" w:rsidP="00B77686">
      <w:pPr>
        <w:pStyle w:val="ListParagraph"/>
        <w:ind w:left="709"/>
        <w:rPr>
          <w:rFonts w:cstheme="minorHAnsi"/>
        </w:rPr>
      </w:pPr>
    </w:p>
    <w:p w14:paraId="3322557D" w14:textId="77777777" w:rsidR="00B77686" w:rsidRPr="00EA49BB" w:rsidRDefault="00B77686" w:rsidP="00B77686">
      <w:pPr>
        <w:pStyle w:val="ListParagraph"/>
        <w:ind w:left="0"/>
        <w:rPr>
          <w:rFonts w:cstheme="minorHAnsi"/>
        </w:rPr>
      </w:pPr>
      <w:r w:rsidRPr="00EA49BB">
        <w:rPr>
          <w:rFonts w:cstheme="minorHAnsi"/>
        </w:rPr>
        <w:t>LAML’s current oversight arrangements include the following:</w:t>
      </w:r>
    </w:p>
    <w:p w14:paraId="47367C05" w14:textId="77777777" w:rsidR="00B77686" w:rsidRPr="00EA49BB" w:rsidRDefault="00B77686" w:rsidP="00B77686">
      <w:pPr>
        <w:pStyle w:val="ListParagraph"/>
        <w:ind w:left="0" w:hanging="709"/>
        <w:rPr>
          <w:rFonts w:cstheme="minorHAnsi"/>
        </w:rPr>
      </w:pPr>
      <w:r w:rsidRPr="00EA49BB">
        <w:rPr>
          <w:rFonts w:cstheme="minorHAnsi"/>
        </w:rPr>
        <w:tab/>
      </w:r>
    </w:p>
    <w:p w14:paraId="10409CF8" w14:textId="77777777" w:rsidR="00B77686" w:rsidRPr="00EA49BB" w:rsidRDefault="00B77686" w:rsidP="00B77686">
      <w:pPr>
        <w:pStyle w:val="ListParagraph"/>
        <w:ind w:left="0"/>
        <w:rPr>
          <w:rFonts w:cstheme="minorHAnsi"/>
          <w:u w:val="single"/>
        </w:rPr>
      </w:pPr>
      <w:r w:rsidRPr="00EA49BB">
        <w:rPr>
          <w:rFonts w:cstheme="minorHAnsi"/>
          <w:u w:val="single"/>
        </w:rPr>
        <w:t>Daily / Monthly Oversight</w:t>
      </w:r>
    </w:p>
    <w:p w14:paraId="19D27EB5" w14:textId="77777777" w:rsidR="00B77686" w:rsidRPr="00EA49BB" w:rsidRDefault="00B77686" w:rsidP="00B77686">
      <w:pPr>
        <w:pStyle w:val="ListParagraph"/>
        <w:ind w:left="0"/>
        <w:rPr>
          <w:rFonts w:cstheme="minorHAnsi"/>
          <w:b/>
          <w:u w:val="single"/>
        </w:rPr>
      </w:pPr>
    </w:p>
    <w:p w14:paraId="3B53AA77" w14:textId="77777777" w:rsidR="00B77686" w:rsidRPr="00EA49BB" w:rsidRDefault="00B77686" w:rsidP="00B77686">
      <w:pPr>
        <w:pStyle w:val="ListParagraph"/>
        <w:ind w:left="0"/>
        <w:rPr>
          <w:rFonts w:cstheme="minorHAnsi"/>
        </w:rPr>
      </w:pPr>
      <w:r w:rsidRPr="00EA49BB">
        <w:rPr>
          <w:rFonts w:cstheme="minorHAnsi"/>
        </w:rPr>
        <w:t>LAML Group Operations together with LAM LLC Operations are responsible for the oversight of the State Street service. This involves regular interaction supported by regular service reviews in relation to the Global relationship and specific to LAML Group contracted clients.  Each service review meeting is supported by a full reporting pack, a list of key outstanding actions which may relate to additional service requests or ongoing queries.  KPIs are also prepared to provide a clear understanding of how service requirements are being met and identify service trends which could trigger the need to escalate issues.</w:t>
      </w:r>
    </w:p>
    <w:p w14:paraId="13BF605D" w14:textId="77777777" w:rsidR="00B77686" w:rsidRPr="00EA49BB" w:rsidRDefault="00B77686" w:rsidP="00B77686">
      <w:pPr>
        <w:pStyle w:val="ListParagraph"/>
        <w:ind w:left="0"/>
        <w:rPr>
          <w:rFonts w:cstheme="minorHAnsi"/>
        </w:rPr>
      </w:pPr>
    </w:p>
    <w:p w14:paraId="2FE08E0D" w14:textId="77777777" w:rsidR="00B77686" w:rsidRPr="00EA49BB" w:rsidRDefault="00B77686" w:rsidP="00B77686">
      <w:pPr>
        <w:pStyle w:val="ListParagraph"/>
        <w:ind w:left="0"/>
        <w:rPr>
          <w:rFonts w:cstheme="minorHAnsi"/>
        </w:rPr>
      </w:pPr>
      <w:r w:rsidRPr="00EA49BB">
        <w:rPr>
          <w:rFonts w:cstheme="minorHAnsi"/>
        </w:rPr>
        <w:t xml:space="preserve">LAM LLC perform a monthly review of reconciliations completed by State Street, this review includes </w:t>
      </w:r>
      <w:proofErr w:type="gramStart"/>
      <w:r w:rsidRPr="00EA49BB">
        <w:rPr>
          <w:rFonts w:cstheme="minorHAnsi"/>
        </w:rPr>
        <w:t>a number of</w:t>
      </w:r>
      <w:proofErr w:type="gramEnd"/>
      <w:r w:rsidRPr="00EA49BB">
        <w:rPr>
          <w:rFonts w:cstheme="minorHAnsi"/>
        </w:rPr>
        <w:t xml:space="preserve"> UK clients as directed by LAML Operations. All results are provided to LAML Group, and any issues identified are reviewed and again where necessary (control testing concerns) escalated.</w:t>
      </w:r>
    </w:p>
    <w:p w14:paraId="54B66063" w14:textId="77777777" w:rsidR="00B77686" w:rsidRPr="00EA49BB" w:rsidRDefault="00B77686" w:rsidP="00B77686">
      <w:pPr>
        <w:pStyle w:val="ListParagraph"/>
        <w:ind w:left="0"/>
        <w:rPr>
          <w:rFonts w:cstheme="minorHAnsi"/>
        </w:rPr>
      </w:pPr>
    </w:p>
    <w:p w14:paraId="739CA3BB" w14:textId="77777777" w:rsidR="00B77686" w:rsidRPr="00EA49BB" w:rsidRDefault="00B77686" w:rsidP="00B77686">
      <w:pPr>
        <w:pStyle w:val="ListParagraph"/>
        <w:ind w:left="0"/>
        <w:rPr>
          <w:rFonts w:cstheme="minorHAnsi"/>
          <w:u w:val="single"/>
        </w:rPr>
      </w:pPr>
      <w:r w:rsidRPr="00EA49BB">
        <w:rPr>
          <w:rFonts w:cstheme="minorHAnsi"/>
          <w:u w:val="single"/>
        </w:rPr>
        <w:t>State Street IMS Operational Model</w:t>
      </w:r>
    </w:p>
    <w:p w14:paraId="5B42411B" w14:textId="77777777" w:rsidR="00B77686" w:rsidRPr="00EA49BB" w:rsidRDefault="00B77686" w:rsidP="00B77686">
      <w:pPr>
        <w:pStyle w:val="ListParagraph"/>
        <w:ind w:left="0"/>
        <w:rPr>
          <w:rFonts w:cstheme="minorHAnsi"/>
        </w:rPr>
      </w:pPr>
    </w:p>
    <w:p w14:paraId="17C89289" w14:textId="77777777" w:rsidR="00B77686" w:rsidRPr="00EA49BB" w:rsidRDefault="00B77686" w:rsidP="00B77686">
      <w:pPr>
        <w:pStyle w:val="ListParagraph"/>
        <w:ind w:left="0"/>
        <w:rPr>
          <w:rFonts w:cstheme="minorHAnsi"/>
        </w:rPr>
      </w:pPr>
      <w:r w:rsidRPr="00EA49BB">
        <w:rPr>
          <w:rFonts w:cstheme="minorHAnsi"/>
        </w:rPr>
        <w:t>LAML Group requires State Street to provide detailed information relating to their business model</w:t>
      </w:r>
      <w:proofErr w:type="gramStart"/>
      <w:r w:rsidRPr="00EA49BB">
        <w:rPr>
          <w:rFonts w:cstheme="minorHAnsi"/>
        </w:rPr>
        <w:t xml:space="preserve"> and in particular</w:t>
      </w:r>
      <w:proofErr w:type="gramEnd"/>
      <w:r w:rsidRPr="00EA49BB">
        <w:rPr>
          <w:rFonts w:cstheme="minorHAnsi"/>
        </w:rPr>
        <w:t xml:space="preserve"> those functions that support LAML Group. This report is required to include in addition to a full oversight of all offices supporting LAML Group, a full explanation of their BCP and DR planning.  LAML Group requires State Street to confirm the business continuity planning for each office and how functions, if necessary, can be ported from one office to another to ensure no interruption to the service provided to LAM and its clients.  </w:t>
      </w:r>
    </w:p>
    <w:p w14:paraId="04AA5090" w14:textId="77777777" w:rsidR="00B77686" w:rsidRPr="00EA49BB" w:rsidRDefault="00B77686" w:rsidP="00B77686">
      <w:pPr>
        <w:pStyle w:val="ListParagraph"/>
        <w:ind w:left="0"/>
        <w:rPr>
          <w:rFonts w:cstheme="minorHAnsi"/>
        </w:rPr>
      </w:pPr>
    </w:p>
    <w:p w14:paraId="14E16009" w14:textId="77777777" w:rsidR="00B77686" w:rsidRPr="00EA49BB" w:rsidRDefault="00B77686" w:rsidP="00B77686">
      <w:pPr>
        <w:pStyle w:val="ListParagraph"/>
        <w:ind w:left="0"/>
        <w:rPr>
          <w:rFonts w:cstheme="minorHAnsi"/>
        </w:rPr>
      </w:pPr>
      <w:r>
        <w:rPr>
          <w:rFonts w:cstheme="minorHAnsi"/>
        </w:rPr>
        <w:t>[</w:t>
      </w:r>
      <w:r w:rsidRPr="00EA49BB">
        <w:rPr>
          <w:rFonts w:cstheme="minorHAnsi"/>
        </w:rPr>
        <w:t>Annually State Street and LAM produce an externally audited SSAE18 report</w:t>
      </w:r>
      <w:r>
        <w:rPr>
          <w:rFonts w:cstheme="minorHAnsi"/>
        </w:rPr>
        <w:t>.</w:t>
      </w:r>
    </w:p>
    <w:p w14:paraId="252DE3D5" w14:textId="77777777" w:rsidR="00B77686" w:rsidRPr="00EA49BB" w:rsidRDefault="00B77686" w:rsidP="00B77686">
      <w:pPr>
        <w:pStyle w:val="ListParagraph"/>
        <w:ind w:left="0"/>
        <w:rPr>
          <w:rFonts w:cstheme="minorHAnsi"/>
        </w:rPr>
      </w:pPr>
    </w:p>
    <w:p w14:paraId="6C8A1C72" w14:textId="77777777" w:rsidR="00B77686" w:rsidRPr="00EA49BB" w:rsidRDefault="00B77686" w:rsidP="00B77686">
      <w:pPr>
        <w:pStyle w:val="ListParagraph"/>
        <w:ind w:left="0"/>
        <w:rPr>
          <w:rFonts w:cstheme="minorHAnsi"/>
        </w:rPr>
      </w:pPr>
      <w:r w:rsidRPr="00EA49BB">
        <w:rPr>
          <w:rFonts w:cstheme="minorHAnsi"/>
        </w:rPr>
        <w:t xml:space="preserve">State Street is considered a Significant Influence Financial Institution (SIFI) and is therefore required to produce a Recovery and Resolution Pack.  Quarterly Recovery and Resolution planning updates are provided which detail State Street’s financial strength.  This document was introduced in response to the FCA’s thematic work relating to Outsourcing.  </w:t>
      </w:r>
    </w:p>
    <w:p w14:paraId="097238DA" w14:textId="77777777" w:rsidR="00B77686" w:rsidRPr="00EA49BB" w:rsidRDefault="00B77686" w:rsidP="00B77686">
      <w:pPr>
        <w:pStyle w:val="ListParagraph"/>
        <w:ind w:left="0"/>
        <w:rPr>
          <w:rFonts w:cstheme="minorHAnsi"/>
        </w:rPr>
      </w:pPr>
    </w:p>
    <w:p w14:paraId="7DFBCB59" w14:textId="77777777" w:rsidR="00B77686" w:rsidRPr="00EA49BB" w:rsidRDefault="00B77686" w:rsidP="00B77686">
      <w:pPr>
        <w:pStyle w:val="ListParagraph"/>
        <w:ind w:left="0"/>
      </w:pPr>
      <w:r w:rsidRPr="44C1764D">
        <w:t xml:space="preserve">As noted above, due to the strategic importance of State Street (and other critical outsourced service providers, as detailed in the Outsourcing Policy) and the considerable impact such a failed service </w:t>
      </w:r>
      <w:r w:rsidRPr="44C1764D">
        <w:lastRenderedPageBreak/>
        <w:t xml:space="preserve">provider could have to both LAML Group and its clients, a key control is understanding financial strength of all outsourced service </w:t>
      </w:r>
      <w:r w:rsidRPr="358F6D3B">
        <w:t>providers</w:t>
      </w:r>
      <w:r w:rsidRPr="44C1764D">
        <w:t xml:space="preserve"> on an ongoing basis.</w:t>
      </w:r>
    </w:p>
    <w:p w14:paraId="3FB51276" w14:textId="77777777" w:rsidR="00B77686" w:rsidRPr="00EA49BB" w:rsidRDefault="00B77686" w:rsidP="00B77686">
      <w:pPr>
        <w:pStyle w:val="ListParagraph"/>
        <w:ind w:left="0"/>
        <w:rPr>
          <w:rFonts w:cstheme="minorHAnsi"/>
        </w:rPr>
      </w:pPr>
    </w:p>
    <w:p w14:paraId="20921FE5" w14:textId="77777777" w:rsidR="00B77686" w:rsidRPr="00EA49BB" w:rsidRDefault="00B77686" w:rsidP="00B77686">
      <w:pPr>
        <w:pStyle w:val="ListParagraph"/>
        <w:ind w:left="0"/>
        <w:rPr>
          <w:rFonts w:cstheme="minorHAnsi"/>
        </w:rPr>
      </w:pPr>
      <w:r w:rsidRPr="00EA49BB">
        <w:rPr>
          <w:rFonts w:cstheme="minorHAnsi"/>
        </w:rPr>
        <w:t xml:space="preserve">Third Party Service Providers are therefore asked to provide regular updates and highlight any significant changes in either the profitability of the business or changes in the firms Tier 1 capital, along with other relevant information as may be required by LAML Group from time to time </w:t>
      </w:r>
      <w:proofErr w:type="gramStart"/>
      <w:r w:rsidRPr="00EA49BB">
        <w:rPr>
          <w:rFonts w:cstheme="minorHAnsi"/>
        </w:rPr>
        <w:t>in order to</w:t>
      </w:r>
      <w:proofErr w:type="gramEnd"/>
      <w:r w:rsidRPr="00EA49BB">
        <w:rPr>
          <w:rFonts w:cstheme="minorHAnsi"/>
        </w:rPr>
        <w:t xml:space="preserve"> adequately monitor and oversee the performance of any outsourced services.   </w:t>
      </w:r>
    </w:p>
    <w:p w14:paraId="20DE64AB" w14:textId="77777777" w:rsidR="00B77686" w:rsidRPr="00EA49BB" w:rsidRDefault="00B77686" w:rsidP="00B77686">
      <w:pPr>
        <w:pStyle w:val="ListParagraph"/>
        <w:ind w:left="709"/>
        <w:rPr>
          <w:rFonts w:cstheme="minorHAnsi"/>
        </w:rPr>
      </w:pPr>
    </w:p>
    <w:p w14:paraId="0EC8AABF" w14:textId="77777777" w:rsidR="00B77686" w:rsidRPr="00EA49BB" w:rsidRDefault="00B77686" w:rsidP="00B77686">
      <w:pPr>
        <w:pStyle w:val="ListParagraph"/>
        <w:ind w:left="0"/>
        <w:rPr>
          <w:rFonts w:cstheme="minorHAnsi"/>
        </w:rPr>
      </w:pPr>
      <w:proofErr w:type="gramStart"/>
      <w:r w:rsidRPr="00EA49BB">
        <w:rPr>
          <w:rFonts w:cstheme="minorHAnsi"/>
        </w:rPr>
        <w:t>All of</w:t>
      </w:r>
      <w:proofErr w:type="gramEnd"/>
      <w:r w:rsidRPr="00EA49BB">
        <w:rPr>
          <w:rFonts w:cstheme="minorHAnsi"/>
        </w:rPr>
        <w:t xml:space="preserve"> the above is supported by:</w:t>
      </w:r>
    </w:p>
    <w:p w14:paraId="434B24D3" w14:textId="77777777" w:rsidR="00B77686" w:rsidRPr="00EA49BB" w:rsidRDefault="00B77686" w:rsidP="00B77686">
      <w:pPr>
        <w:pStyle w:val="ListParagraph"/>
        <w:ind w:left="0"/>
        <w:rPr>
          <w:rFonts w:cstheme="minorHAnsi"/>
        </w:rPr>
      </w:pPr>
      <w:r w:rsidRPr="00EA49BB">
        <w:rPr>
          <w:rFonts w:cstheme="minorHAnsi"/>
        </w:rPr>
        <w:t xml:space="preserve"> </w:t>
      </w:r>
    </w:p>
    <w:p w14:paraId="34D07869" w14:textId="77777777" w:rsidR="00B77686" w:rsidRPr="00EA49BB" w:rsidRDefault="00B77686" w:rsidP="00B77686">
      <w:pPr>
        <w:pStyle w:val="ListParagraph"/>
        <w:numPr>
          <w:ilvl w:val="1"/>
          <w:numId w:val="21"/>
        </w:numPr>
        <w:autoSpaceDE w:val="0"/>
        <w:autoSpaceDN w:val="0"/>
        <w:adjustRightInd w:val="0"/>
        <w:spacing w:after="0" w:line="240" w:lineRule="auto"/>
        <w:ind w:left="1134"/>
        <w:rPr>
          <w:rFonts w:cstheme="minorHAnsi"/>
        </w:rPr>
      </w:pPr>
      <w:r w:rsidRPr="00EA49BB">
        <w:rPr>
          <w:rFonts w:cstheme="minorHAnsi"/>
        </w:rPr>
        <w:t>Building strong relationships</w:t>
      </w:r>
    </w:p>
    <w:p w14:paraId="3CA8321B" w14:textId="77777777" w:rsidR="00B77686" w:rsidRPr="00EA49BB" w:rsidRDefault="00B77686" w:rsidP="00B77686">
      <w:pPr>
        <w:pStyle w:val="ListParagraph"/>
        <w:numPr>
          <w:ilvl w:val="1"/>
          <w:numId w:val="21"/>
        </w:numPr>
        <w:autoSpaceDE w:val="0"/>
        <w:autoSpaceDN w:val="0"/>
        <w:adjustRightInd w:val="0"/>
        <w:spacing w:after="0" w:line="240" w:lineRule="auto"/>
        <w:ind w:left="1134"/>
        <w:rPr>
          <w:rFonts w:cstheme="minorHAnsi"/>
        </w:rPr>
      </w:pPr>
      <w:r w:rsidRPr="00EA49BB">
        <w:rPr>
          <w:rFonts w:cstheme="minorHAnsi"/>
        </w:rPr>
        <w:t>Clear escalation policies</w:t>
      </w:r>
    </w:p>
    <w:p w14:paraId="1B97071C" w14:textId="77777777" w:rsidR="00B77686" w:rsidRPr="00EA49BB" w:rsidRDefault="00B77686" w:rsidP="00B77686">
      <w:pPr>
        <w:pStyle w:val="ListParagraph"/>
        <w:numPr>
          <w:ilvl w:val="1"/>
          <w:numId w:val="21"/>
        </w:numPr>
        <w:autoSpaceDE w:val="0"/>
        <w:autoSpaceDN w:val="0"/>
        <w:adjustRightInd w:val="0"/>
        <w:spacing w:after="0" w:line="240" w:lineRule="auto"/>
        <w:ind w:left="1134"/>
        <w:rPr>
          <w:rFonts w:cstheme="minorHAnsi"/>
        </w:rPr>
      </w:pPr>
      <w:r w:rsidRPr="00EA49BB">
        <w:rPr>
          <w:rFonts w:cstheme="minorHAnsi"/>
        </w:rPr>
        <w:t>Senior management access</w:t>
      </w:r>
    </w:p>
    <w:p w14:paraId="0BF873B9" w14:textId="77777777" w:rsidR="00B77686" w:rsidRPr="00EA49BB" w:rsidRDefault="00B77686" w:rsidP="00B77686">
      <w:pPr>
        <w:pStyle w:val="ListParagraph"/>
        <w:numPr>
          <w:ilvl w:val="1"/>
          <w:numId w:val="21"/>
        </w:numPr>
        <w:autoSpaceDE w:val="0"/>
        <w:autoSpaceDN w:val="0"/>
        <w:adjustRightInd w:val="0"/>
        <w:spacing w:after="0" w:line="240" w:lineRule="auto"/>
        <w:ind w:left="1134"/>
        <w:rPr>
          <w:rFonts w:cstheme="minorHAnsi"/>
        </w:rPr>
      </w:pPr>
      <w:r w:rsidRPr="00EA49BB">
        <w:rPr>
          <w:rFonts w:cstheme="minorHAnsi"/>
        </w:rPr>
        <w:t>Legally negotiated Master outsourcing agreement with an indemnity from State Street for fraud and negligence</w:t>
      </w:r>
    </w:p>
    <w:p w14:paraId="557C3CAC" w14:textId="77777777" w:rsidR="00B77686" w:rsidRPr="00EA49BB" w:rsidRDefault="00B77686" w:rsidP="00B77686">
      <w:pPr>
        <w:pStyle w:val="ListParagraph"/>
        <w:numPr>
          <w:ilvl w:val="1"/>
          <w:numId w:val="21"/>
        </w:numPr>
        <w:autoSpaceDE w:val="0"/>
        <w:autoSpaceDN w:val="0"/>
        <w:adjustRightInd w:val="0"/>
        <w:spacing w:after="0" w:line="240" w:lineRule="auto"/>
        <w:ind w:left="1134"/>
        <w:rPr>
          <w:rFonts w:cstheme="minorHAnsi"/>
        </w:rPr>
      </w:pPr>
      <w:r w:rsidRPr="00EA49BB">
        <w:rPr>
          <w:rFonts w:cstheme="minorHAnsi"/>
        </w:rPr>
        <w:t xml:space="preserve">Continued high level management, oversight and </w:t>
      </w:r>
      <w:proofErr w:type="gramStart"/>
      <w:r w:rsidRPr="00EA49BB">
        <w:rPr>
          <w:rFonts w:cstheme="minorHAnsi"/>
        </w:rPr>
        <w:t>engagement</w:t>
      </w:r>
      <w:proofErr w:type="gramEnd"/>
    </w:p>
    <w:p w14:paraId="1A3082BB" w14:textId="77777777" w:rsidR="00B77686" w:rsidRPr="00EA49BB" w:rsidRDefault="00B77686" w:rsidP="00B77686">
      <w:pPr>
        <w:pStyle w:val="ListParagraph"/>
        <w:numPr>
          <w:ilvl w:val="1"/>
          <w:numId w:val="21"/>
        </w:numPr>
        <w:autoSpaceDE w:val="0"/>
        <w:autoSpaceDN w:val="0"/>
        <w:adjustRightInd w:val="0"/>
        <w:spacing w:after="0" w:line="240" w:lineRule="auto"/>
        <w:ind w:left="1134"/>
        <w:rPr>
          <w:rFonts w:cstheme="minorHAnsi"/>
        </w:rPr>
      </w:pPr>
      <w:r w:rsidRPr="00EA49BB">
        <w:rPr>
          <w:rFonts w:cstheme="minorHAnsi"/>
        </w:rPr>
        <w:t xml:space="preserve">Compliance monitoring:  Onsite and desk </w:t>
      </w:r>
      <w:proofErr w:type="gramStart"/>
      <w:r w:rsidRPr="00EA49BB">
        <w:rPr>
          <w:rFonts w:cstheme="minorHAnsi"/>
        </w:rPr>
        <w:t>based</w:t>
      </w:r>
      <w:proofErr w:type="gramEnd"/>
    </w:p>
    <w:p w14:paraId="5213F728" w14:textId="77777777" w:rsidR="00B77686" w:rsidRPr="00EA49BB" w:rsidRDefault="00B77686" w:rsidP="00B77686">
      <w:pPr>
        <w:pStyle w:val="ListParagraph"/>
        <w:numPr>
          <w:ilvl w:val="1"/>
          <w:numId w:val="21"/>
        </w:numPr>
        <w:autoSpaceDE w:val="0"/>
        <w:autoSpaceDN w:val="0"/>
        <w:adjustRightInd w:val="0"/>
        <w:spacing w:after="0" w:line="240" w:lineRule="auto"/>
        <w:ind w:left="1134"/>
        <w:rPr>
          <w:rFonts w:cstheme="minorHAnsi"/>
        </w:rPr>
      </w:pPr>
      <w:r w:rsidRPr="00EA49BB">
        <w:rPr>
          <w:rFonts w:cstheme="minorHAnsi"/>
        </w:rPr>
        <w:t>Internal Audit Reviews</w:t>
      </w:r>
    </w:p>
    <w:p w14:paraId="62FD8E59" w14:textId="77777777" w:rsidR="00B77686" w:rsidRPr="00EA49BB" w:rsidRDefault="00B77686" w:rsidP="00B77686">
      <w:pPr>
        <w:pStyle w:val="ListParagraph"/>
        <w:numPr>
          <w:ilvl w:val="1"/>
          <w:numId w:val="21"/>
        </w:numPr>
        <w:autoSpaceDE w:val="0"/>
        <w:autoSpaceDN w:val="0"/>
        <w:adjustRightInd w:val="0"/>
        <w:spacing w:after="0" w:line="240" w:lineRule="auto"/>
        <w:ind w:left="1134"/>
        <w:rPr>
          <w:rFonts w:cstheme="minorHAnsi"/>
        </w:rPr>
      </w:pPr>
      <w:r w:rsidRPr="00EA49BB">
        <w:rPr>
          <w:rFonts w:cstheme="minorHAnsi"/>
        </w:rPr>
        <w:t>LORC/LOSC</w:t>
      </w:r>
    </w:p>
    <w:p w14:paraId="344ADDD9" w14:textId="77777777" w:rsidR="00B77686" w:rsidRPr="00EA49BB" w:rsidRDefault="00B77686" w:rsidP="00B77686">
      <w:pPr>
        <w:pStyle w:val="ListParagraph"/>
        <w:ind w:left="709"/>
        <w:rPr>
          <w:rFonts w:cstheme="minorHAnsi"/>
          <w:strike/>
        </w:rPr>
      </w:pPr>
    </w:p>
    <w:p w14:paraId="372DAECA" w14:textId="77777777" w:rsidR="00B77686" w:rsidRPr="00EA49BB" w:rsidRDefault="00B77686" w:rsidP="00B77686">
      <w:pPr>
        <w:pStyle w:val="ListParagraph"/>
        <w:ind w:left="0"/>
        <w:rPr>
          <w:rFonts w:cstheme="minorHAnsi"/>
        </w:rPr>
      </w:pPr>
      <w:r w:rsidRPr="00EA49BB">
        <w:rPr>
          <w:rFonts w:cstheme="minorHAnsi"/>
        </w:rPr>
        <w:t xml:space="preserve">LAML Group also meets regularly with State Street </w:t>
      </w:r>
      <w:r>
        <w:rPr>
          <w:rFonts w:cstheme="minorHAnsi"/>
        </w:rPr>
        <w:t xml:space="preserve">Senior </w:t>
      </w:r>
      <w:r w:rsidRPr="00EA49BB">
        <w:rPr>
          <w:rFonts w:cstheme="minorHAnsi"/>
        </w:rPr>
        <w:t>Management to ensure effective communication and provide escalation points should issues arise affecting LAML Group clients.</w:t>
      </w:r>
    </w:p>
    <w:p w14:paraId="6E9756DE" w14:textId="77777777" w:rsidR="00B77686" w:rsidRPr="00EA49BB" w:rsidRDefault="00B77686" w:rsidP="00B77686">
      <w:pPr>
        <w:pStyle w:val="ListParagraph"/>
        <w:ind w:left="0"/>
        <w:rPr>
          <w:rFonts w:cstheme="minorHAnsi"/>
        </w:rPr>
      </w:pPr>
    </w:p>
    <w:p w14:paraId="3EEC7A89" w14:textId="77777777" w:rsidR="00B77686" w:rsidRPr="00EA49BB" w:rsidRDefault="00B77686" w:rsidP="00B77686">
      <w:pPr>
        <w:pStyle w:val="ListParagraph"/>
        <w:ind w:left="0"/>
        <w:rPr>
          <w:rFonts w:cstheme="minorHAnsi"/>
        </w:rPr>
      </w:pPr>
      <w:r w:rsidRPr="00EA49BB">
        <w:rPr>
          <w:rFonts w:cstheme="minorHAnsi"/>
        </w:rPr>
        <w:t>It is key to note that the LAML Group Boards recognise that through outsourcing they have in no way removed any of their fiduciary responsibilities to clients or investors.</w:t>
      </w:r>
    </w:p>
    <w:p w14:paraId="1125A53A" w14:textId="77777777" w:rsidR="00B77686" w:rsidRPr="00EA49BB" w:rsidRDefault="00B77686" w:rsidP="00B77686">
      <w:pPr>
        <w:ind w:left="0"/>
        <w:rPr>
          <w:rFonts w:cstheme="minorHAnsi"/>
        </w:rPr>
      </w:pPr>
      <w:r w:rsidRPr="00EA49BB">
        <w:rPr>
          <w:rFonts w:cstheme="minorHAnsi"/>
        </w:rPr>
        <w:t xml:space="preserve">LAM LLC carried out considerable risk analysis on State Street </w:t>
      </w:r>
      <w:r>
        <w:rPr>
          <w:rFonts w:cstheme="minorHAnsi"/>
        </w:rPr>
        <w:t xml:space="preserve">at the outset of the relationship (and continues to do so on an annual basis) </w:t>
      </w:r>
      <w:r w:rsidRPr="00EA49BB">
        <w:rPr>
          <w:rFonts w:cstheme="minorHAnsi"/>
        </w:rPr>
        <w:t xml:space="preserve">and the business is comfortable that State Street, as one of the world’s leading custodial and </w:t>
      </w:r>
      <w:proofErr w:type="gramStart"/>
      <w:r w:rsidRPr="00EA49BB">
        <w:rPr>
          <w:rFonts w:cstheme="minorHAnsi"/>
        </w:rPr>
        <w:t>third party</w:t>
      </w:r>
      <w:proofErr w:type="gramEnd"/>
      <w:r w:rsidRPr="00EA49BB">
        <w:rPr>
          <w:rFonts w:cstheme="minorHAnsi"/>
        </w:rPr>
        <w:t xml:space="preserve"> administrators are a low risk partner organisation. </w:t>
      </w:r>
    </w:p>
    <w:p w14:paraId="6C40522C" w14:textId="77777777" w:rsidR="00B77686" w:rsidRPr="00EA49BB" w:rsidRDefault="00B77686" w:rsidP="00B77686">
      <w:pPr>
        <w:ind w:left="0"/>
        <w:rPr>
          <w:rFonts w:cstheme="minorHAnsi"/>
          <w:u w:val="single"/>
        </w:rPr>
      </w:pPr>
      <w:r w:rsidRPr="00EA49BB">
        <w:rPr>
          <w:rFonts w:cstheme="minorHAnsi"/>
          <w:u w:val="single"/>
        </w:rPr>
        <w:t>BNY</w:t>
      </w:r>
      <w:r>
        <w:rPr>
          <w:rFonts w:cstheme="minorHAnsi"/>
          <w:u w:val="single"/>
        </w:rPr>
        <w:t xml:space="preserve"> </w:t>
      </w:r>
      <w:r w:rsidRPr="00EA49BB">
        <w:rPr>
          <w:rFonts w:cstheme="minorHAnsi"/>
          <w:u w:val="single"/>
        </w:rPr>
        <w:t>M</w:t>
      </w:r>
      <w:r>
        <w:rPr>
          <w:rFonts w:cstheme="minorHAnsi"/>
          <w:u w:val="single"/>
        </w:rPr>
        <w:t>ellon Corporation</w:t>
      </w:r>
    </w:p>
    <w:p w14:paraId="7A9D5359" w14:textId="77777777" w:rsidR="00B77686" w:rsidRPr="00EA49BB" w:rsidRDefault="00B77686" w:rsidP="00B77686">
      <w:pPr>
        <w:ind w:left="0"/>
        <w:rPr>
          <w:rFonts w:cstheme="minorHAnsi"/>
        </w:rPr>
      </w:pPr>
      <w:r>
        <w:rPr>
          <w:rFonts w:cstheme="minorHAnsi"/>
        </w:rPr>
        <w:t>LFM</w:t>
      </w:r>
      <w:r w:rsidRPr="00EA49BB">
        <w:rPr>
          <w:rFonts w:cstheme="minorHAnsi"/>
        </w:rPr>
        <w:t xml:space="preserve"> outsources the administration of its onshore mutual funds to BNY Mellon Corporation, including fund pricing, valuation, accounting,</w:t>
      </w:r>
      <w:r>
        <w:rPr>
          <w:rFonts w:cstheme="minorHAnsi"/>
        </w:rPr>
        <w:t xml:space="preserve"> and</w:t>
      </w:r>
      <w:r w:rsidRPr="00EA49BB">
        <w:rPr>
          <w:rFonts w:cstheme="minorHAnsi"/>
        </w:rPr>
        <w:t xml:space="preserve"> transfer agency.</w:t>
      </w:r>
    </w:p>
    <w:p w14:paraId="009376CC" w14:textId="77777777" w:rsidR="00B77686" w:rsidRPr="00EA49BB" w:rsidRDefault="00B77686" w:rsidP="00B77686">
      <w:pPr>
        <w:pStyle w:val="ListParagraph"/>
        <w:ind w:left="0"/>
        <w:rPr>
          <w:rFonts w:cstheme="minorHAnsi"/>
        </w:rPr>
      </w:pPr>
      <w:proofErr w:type="gramStart"/>
      <w:r w:rsidRPr="00EA49BB">
        <w:rPr>
          <w:rFonts w:cstheme="minorHAnsi"/>
        </w:rPr>
        <w:t>In order to</w:t>
      </w:r>
      <w:proofErr w:type="gramEnd"/>
      <w:r w:rsidRPr="00EA49BB">
        <w:rPr>
          <w:rFonts w:cstheme="minorHAnsi"/>
        </w:rPr>
        <w:t xml:space="preserve"> manage outsourcing risks </w:t>
      </w:r>
      <w:r>
        <w:rPr>
          <w:rFonts w:cstheme="minorHAnsi"/>
        </w:rPr>
        <w:t>LFM</w:t>
      </w:r>
      <w:r w:rsidRPr="00EA49BB">
        <w:rPr>
          <w:rFonts w:cstheme="minorHAnsi"/>
        </w:rPr>
        <w:t xml:space="preserve"> has implement</w:t>
      </w:r>
      <w:r>
        <w:rPr>
          <w:rFonts w:cstheme="minorHAnsi"/>
        </w:rPr>
        <w:t>ed</w:t>
      </w:r>
      <w:r w:rsidRPr="00EA49BB">
        <w:rPr>
          <w:rFonts w:cstheme="minorHAnsi"/>
        </w:rPr>
        <w:t xml:space="preserve"> the following risk mitigating controls:</w:t>
      </w:r>
    </w:p>
    <w:p w14:paraId="34410E28" w14:textId="77777777" w:rsidR="00B77686" w:rsidRPr="00EA49BB" w:rsidRDefault="00B77686" w:rsidP="00B77686">
      <w:pPr>
        <w:pStyle w:val="ListParagraph"/>
        <w:ind w:left="709"/>
        <w:rPr>
          <w:rFonts w:cstheme="minorHAnsi"/>
        </w:rPr>
      </w:pPr>
    </w:p>
    <w:p w14:paraId="3EC8E827" w14:textId="77777777" w:rsidR="00B77686" w:rsidRPr="00EA49BB" w:rsidRDefault="00B77686" w:rsidP="00B77686">
      <w:pPr>
        <w:pStyle w:val="ListParagraph"/>
        <w:ind w:left="0"/>
        <w:rPr>
          <w:rFonts w:cstheme="minorHAnsi"/>
          <w:u w:val="single"/>
        </w:rPr>
      </w:pPr>
      <w:r w:rsidRPr="00EA49BB">
        <w:rPr>
          <w:rFonts w:cstheme="minorHAnsi"/>
          <w:u w:val="single"/>
        </w:rPr>
        <w:t>Daily / Monthly Oversight</w:t>
      </w:r>
    </w:p>
    <w:p w14:paraId="3C7EFA6B" w14:textId="77777777" w:rsidR="00B77686" w:rsidRPr="00EA49BB" w:rsidRDefault="00B77686" w:rsidP="00B77686">
      <w:pPr>
        <w:pStyle w:val="ListParagraph"/>
        <w:ind w:left="0"/>
        <w:rPr>
          <w:rFonts w:cstheme="minorHAnsi"/>
          <w:b/>
          <w:u w:val="single"/>
        </w:rPr>
      </w:pPr>
    </w:p>
    <w:p w14:paraId="6E59BFB9" w14:textId="77777777" w:rsidR="00B77686" w:rsidRPr="00EA49BB" w:rsidRDefault="00B77686" w:rsidP="00B77686">
      <w:pPr>
        <w:pStyle w:val="ListParagraph"/>
        <w:ind w:left="0"/>
        <w:rPr>
          <w:rFonts w:cstheme="minorHAnsi"/>
        </w:rPr>
      </w:pPr>
      <w:r w:rsidRPr="00EA49BB">
        <w:rPr>
          <w:rFonts w:cstheme="minorHAnsi"/>
        </w:rPr>
        <w:t xml:space="preserve">LAML Group Operations are responsible for the oversight of all third parties involved in the servicing the LFM Funds and investors.  This process involves regular interaction supported by regular service reviews with both </w:t>
      </w:r>
      <w:proofErr w:type="spellStart"/>
      <w:r w:rsidRPr="00EA49BB">
        <w:rPr>
          <w:rFonts w:cstheme="minorHAnsi"/>
        </w:rPr>
        <w:t>BNYMellon</w:t>
      </w:r>
      <w:proofErr w:type="spellEnd"/>
      <w:r w:rsidRPr="00EA49BB">
        <w:rPr>
          <w:rFonts w:cstheme="minorHAnsi"/>
        </w:rPr>
        <w:t xml:space="preserve"> Fund Accounting and Transfer Agency team plus the State Street Depository and Trustee team. Close monitoring is also carrie</w:t>
      </w:r>
      <w:r>
        <w:rPr>
          <w:rFonts w:cstheme="minorHAnsi"/>
        </w:rPr>
        <w:t>d</w:t>
      </w:r>
      <w:r w:rsidRPr="00EA49BB">
        <w:rPr>
          <w:rFonts w:cstheme="minorHAnsi"/>
        </w:rPr>
        <w:t xml:space="preserve"> out via the LOSC (see above). Each service review meeting is supported by a full reporting pack, a list of key outstanding actions which may relate to additional service requests or ongoing queries.  KPIs are also prepared to provide a clear understanding of how service requirements are being met and identify service trends which could trigger the need to escalate issues.</w:t>
      </w:r>
    </w:p>
    <w:p w14:paraId="041D08C8" w14:textId="77777777" w:rsidR="00B77686" w:rsidRPr="00EA49BB" w:rsidRDefault="00B77686" w:rsidP="00B77686">
      <w:pPr>
        <w:pStyle w:val="ListParagraph"/>
        <w:ind w:left="0"/>
        <w:rPr>
          <w:rFonts w:cstheme="minorHAnsi"/>
        </w:rPr>
      </w:pPr>
    </w:p>
    <w:p w14:paraId="68E69BC6" w14:textId="77777777" w:rsidR="00B77686" w:rsidRPr="00EA49BB" w:rsidRDefault="00B77686" w:rsidP="00B77686">
      <w:pPr>
        <w:pStyle w:val="ListParagraph"/>
        <w:ind w:left="0"/>
        <w:rPr>
          <w:rFonts w:cstheme="minorHAnsi"/>
          <w:u w:val="single"/>
        </w:rPr>
      </w:pPr>
      <w:r w:rsidRPr="00EA49BB">
        <w:rPr>
          <w:rFonts w:cstheme="minorHAnsi"/>
          <w:u w:val="single"/>
        </w:rPr>
        <w:t>Operational</w:t>
      </w:r>
      <w:r w:rsidRPr="00EA49BB">
        <w:rPr>
          <w:rFonts w:cstheme="minorHAnsi"/>
        </w:rPr>
        <w:t xml:space="preserve"> </w:t>
      </w:r>
      <w:r w:rsidRPr="00EA49BB">
        <w:rPr>
          <w:rFonts w:cstheme="minorHAnsi"/>
          <w:u w:val="single"/>
        </w:rPr>
        <w:t>Model</w:t>
      </w:r>
    </w:p>
    <w:p w14:paraId="71F2E0D4" w14:textId="77777777" w:rsidR="00B77686" w:rsidRPr="00EA49BB" w:rsidRDefault="00B77686" w:rsidP="00B77686">
      <w:pPr>
        <w:pStyle w:val="ListParagraph"/>
        <w:ind w:left="0"/>
        <w:rPr>
          <w:rFonts w:cstheme="minorHAnsi"/>
        </w:rPr>
      </w:pPr>
    </w:p>
    <w:p w14:paraId="0DA8266C" w14:textId="77777777" w:rsidR="00B77686" w:rsidRPr="00EA49BB" w:rsidRDefault="00B77686" w:rsidP="00B77686">
      <w:pPr>
        <w:pStyle w:val="ListParagraph"/>
        <w:ind w:left="0"/>
        <w:rPr>
          <w:rFonts w:cstheme="minorHAnsi"/>
        </w:rPr>
      </w:pPr>
      <w:r w:rsidRPr="00EA49BB">
        <w:rPr>
          <w:rFonts w:cstheme="minorHAnsi"/>
        </w:rPr>
        <w:t>LAML Group requires third party providers to provide detailed information relating to their business</w:t>
      </w:r>
      <w:proofErr w:type="gramStart"/>
      <w:r w:rsidRPr="00EA49BB">
        <w:rPr>
          <w:rFonts w:cstheme="minorHAnsi"/>
        </w:rPr>
        <w:t xml:space="preserve"> and in particular</w:t>
      </w:r>
      <w:proofErr w:type="gramEnd"/>
      <w:r w:rsidRPr="00EA49BB">
        <w:rPr>
          <w:rFonts w:cstheme="minorHAnsi"/>
        </w:rPr>
        <w:t xml:space="preserve"> those functions support LAML Group.</w:t>
      </w:r>
    </w:p>
    <w:p w14:paraId="06D6A506" w14:textId="77777777" w:rsidR="00B77686" w:rsidRPr="00EA49BB" w:rsidRDefault="00B77686" w:rsidP="00B77686">
      <w:pPr>
        <w:pStyle w:val="ListParagraph"/>
        <w:ind w:left="0"/>
        <w:rPr>
          <w:rFonts w:cstheme="minorHAnsi"/>
        </w:rPr>
      </w:pPr>
    </w:p>
    <w:p w14:paraId="73859BF6" w14:textId="77777777" w:rsidR="00B77686" w:rsidRPr="00EA49BB" w:rsidRDefault="00B77686" w:rsidP="00B77686">
      <w:pPr>
        <w:pStyle w:val="ListParagraph"/>
        <w:ind w:left="0"/>
        <w:rPr>
          <w:rFonts w:cstheme="minorHAnsi"/>
        </w:rPr>
      </w:pPr>
      <w:r w:rsidRPr="00EA49BB">
        <w:rPr>
          <w:rFonts w:cstheme="minorHAnsi"/>
        </w:rPr>
        <w:t>Each update is required to include</w:t>
      </w:r>
      <w:r>
        <w:rPr>
          <w:rFonts w:cstheme="minorHAnsi"/>
        </w:rPr>
        <w:t>,</w:t>
      </w:r>
      <w:r w:rsidRPr="00EA49BB">
        <w:rPr>
          <w:rFonts w:cstheme="minorHAnsi"/>
        </w:rPr>
        <w:t xml:space="preserve"> in addition to a full oversight of all offices supporting LFM</w:t>
      </w:r>
      <w:r>
        <w:rPr>
          <w:rFonts w:cstheme="minorHAnsi"/>
        </w:rPr>
        <w:t>,</w:t>
      </w:r>
      <w:r w:rsidRPr="00EA49BB">
        <w:rPr>
          <w:rFonts w:cstheme="minorHAnsi"/>
        </w:rPr>
        <w:t xml:space="preserve"> a full explanation of their BCP and DR planning.  LAML Group requires both </w:t>
      </w:r>
      <w:proofErr w:type="spellStart"/>
      <w:r w:rsidRPr="00EA49BB">
        <w:rPr>
          <w:rFonts w:cstheme="minorHAnsi"/>
        </w:rPr>
        <w:t>BNYMellon</w:t>
      </w:r>
      <w:proofErr w:type="spellEnd"/>
      <w:r w:rsidRPr="00EA49BB">
        <w:rPr>
          <w:rFonts w:cstheme="minorHAnsi"/>
        </w:rPr>
        <w:t xml:space="preserve"> and State Street to confirm the business continuity planning for each office and how functions, if necessary, can be ported </w:t>
      </w:r>
      <w:r w:rsidRPr="00EA49BB">
        <w:rPr>
          <w:rFonts w:cstheme="minorHAnsi"/>
        </w:rPr>
        <w:lastRenderedPageBreak/>
        <w:t xml:space="preserve">from one office to another to ensure no interruption to the service provided to LFM and its investors/clients.  </w:t>
      </w:r>
    </w:p>
    <w:p w14:paraId="67BD22D4" w14:textId="77777777" w:rsidR="00B77686" w:rsidRPr="00EA49BB" w:rsidRDefault="00B77686" w:rsidP="00B77686">
      <w:pPr>
        <w:pStyle w:val="ListParagraph"/>
        <w:ind w:left="0"/>
        <w:rPr>
          <w:rFonts w:cstheme="minorHAnsi"/>
        </w:rPr>
      </w:pPr>
      <w:r w:rsidRPr="00EA49BB">
        <w:rPr>
          <w:rFonts w:cstheme="minorHAnsi"/>
        </w:rPr>
        <w:t xml:space="preserve"> </w:t>
      </w:r>
    </w:p>
    <w:p w14:paraId="5DEDFF99" w14:textId="77777777" w:rsidR="00B77686" w:rsidRPr="00EA49BB" w:rsidRDefault="00B77686" w:rsidP="00B77686">
      <w:pPr>
        <w:pStyle w:val="ListParagraph"/>
        <w:ind w:left="0"/>
        <w:rPr>
          <w:rFonts w:cstheme="minorHAnsi"/>
        </w:rPr>
      </w:pPr>
      <w:r w:rsidRPr="00EA49BB">
        <w:rPr>
          <w:rFonts w:cstheme="minorHAnsi"/>
        </w:rPr>
        <w:t xml:space="preserve">Outsourcing is viewed by the LAML Group Boards as a risk mitigant to operational risk, while recognising that outsourcing itself introduces its own risks.  Through LAML’s choice of outsourcing partners and the long history of outsourcing within LAML Group, the LAML Group Boards’ views are that this and the relationships developed, the strong controls and enforced mitigants implemented, significantly reduce the outsourcing risk.  </w:t>
      </w:r>
    </w:p>
    <w:p w14:paraId="0E736F98" w14:textId="77777777" w:rsidR="00B77686" w:rsidRPr="003934C8" w:rsidRDefault="00B77686" w:rsidP="00B77686">
      <w:pPr>
        <w:shd w:val="clear" w:color="auto" w:fill="FFFFFF" w:themeFill="background1"/>
        <w:ind w:left="0"/>
      </w:pPr>
      <w:r w:rsidRPr="00EA49BB">
        <w:rPr>
          <w:rFonts w:cstheme="minorHAnsi"/>
        </w:rPr>
        <w:t xml:space="preserve">The LAML Group Boards accept the risk associated with outsourcing arrangements but consider the tight control and monitoring to provide sufficient assurances that the possibilities of material losses are limited.  </w:t>
      </w:r>
    </w:p>
    <w:p w14:paraId="07DC452D" w14:textId="1844B3EF" w:rsidR="003C3467" w:rsidRPr="004C7F92" w:rsidRDefault="00755061" w:rsidP="004C7F92">
      <w:pPr>
        <w:pStyle w:val="Heading2"/>
        <w:numPr>
          <w:ilvl w:val="2"/>
          <w:numId w:val="2"/>
        </w:numPr>
        <w:spacing w:after="100" w:afterAutospacing="1"/>
        <w:rPr>
          <w:rFonts w:asciiTheme="minorHAnsi" w:hAnsiTheme="minorHAnsi" w:cstheme="minorBidi"/>
        </w:rPr>
      </w:pPr>
      <w:r>
        <w:rPr>
          <w:rFonts w:asciiTheme="minorHAnsi" w:hAnsiTheme="minorHAnsi" w:cstheme="minorBidi"/>
        </w:rPr>
        <w:t>Market Risk</w:t>
      </w:r>
      <w:bookmarkEnd w:id="23"/>
    </w:p>
    <w:p w14:paraId="0C9FF5DB" w14:textId="77777777" w:rsidR="00B77686" w:rsidRDefault="00707B60" w:rsidP="00B77686">
      <w:pPr>
        <w:spacing w:line="240" w:lineRule="auto"/>
        <w:ind w:left="0"/>
      </w:pPr>
      <w:r w:rsidRPr="00707B60">
        <w:rPr>
          <w:rFonts w:ascii="Calibri" w:eastAsia="Calibri" w:hAnsi="Calibri" w:cs="Arial"/>
        </w:rPr>
        <w:t xml:space="preserve">Market risk </w:t>
      </w:r>
      <w:r w:rsidR="00B77686" w:rsidRPr="00CC6FAE">
        <w:t xml:space="preserve">is the risk of losses arising due to a change in the value of assets and liabilities </w:t>
      </w:r>
      <w:proofErr w:type="gramStart"/>
      <w:r w:rsidR="00B77686" w:rsidRPr="00CC6FAE">
        <w:t>as a result of</w:t>
      </w:r>
      <w:proofErr w:type="gramEnd"/>
      <w:r w:rsidR="00B77686" w:rsidRPr="00CC6FAE">
        <w:t xml:space="preserve"> adverse movements in market prices.</w:t>
      </w:r>
      <w:r w:rsidR="00B77686">
        <w:t xml:space="preserve"> LAML Group’s main exposure to market risk is through three separate factors:</w:t>
      </w:r>
    </w:p>
    <w:p w14:paraId="6FA79611" w14:textId="77777777" w:rsidR="00B77686" w:rsidRPr="00B65DA2" w:rsidRDefault="00B77686" w:rsidP="00B77686">
      <w:pPr>
        <w:spacing w:line="240" w:lineRule="auto"/>
        <w:ind w:left="0"/>
        <w:rPr>
          <w:bCs/>
          <w:u w:val="single"/>
        </w:rPr>
      </w:pPr>
      <w:r>
        <w:rPr>
          <w:bCs/>
          <w:u w:val="single"/>
        </w:rPr>
        <w:t>Direct exposure through long term investments</w:t>
      </w:r>
    </w:p>
    <w:p w14:paraId="0B34FD45" w14:textId="77777777" w:rsidR="00B77686" w:rsidRDefault="00B77686" w:rsidP="00B77686">
      <w:pPr>
        <w:spacing w:line="240" w:lineRule="auto"/>
        <w:ind w:left="0"/>
      </w:pPr>
      <w:r>
        <w:t xml:space="preserve">LAML Group does not make short term investments and does not trade on its own account.  LAML Group can manage its cash and counterparty risk by investing in UK Gilts, US </w:t>
      </w:r>
      <w:proofErr w:type="gramStart"/>
      <w:r>
        <w:t>Treasuries</w:t>
      </w:r>
      <w:proofErr w:type="gramEnd"/>
      <w:r>
        <w:t xml:space="preserve"> or the short-term bonds of other EU sovereign issues.  Any potential investment must be authorised by a member of the LAML Board, after careful consideration is given to all aspects of the investment including implications on capital resources. </w:t>
      </w:r>
    </w:p>
    <w:p w14:paraId="0AE4F38C" w14:textId="77777777" w:rsidR="00B77686" w:rsidRDefault="00B77686" w:rsidP="00B77686">
      <w:pPr>
        <w:spacing w:line="240" w:lineRule="auto"/>
        <w:ind w:left="0"/>
      </w:pPr>
      <w:r>
        <w:t>LAML also invests in specific Lazard funds as a natural hedge to the Lazard Fund Interest (“LFI”) deferred compensation scheme.  Under the LFI scheme certain employees are granted deferred compensation in the form of specific Lazard funds with vesting dates two and three years from the grant date.  By investing in the underlying Lazard funds LAML hedges its compensation liability reducing market risk and volatility on the liabilities.</w:t>
      </w:r>
    </w:p>
    <w:p w14:paraId="0C5FED2C" w14:textId="77777777" w:rsidR="00B77686" w:rsidRPr="00B65DA2" w:rsidRDefault="00B77686" w:rsidP="00B77686">
      <w:pPr>
        <w:spacing w:line="240" w:lineRule="auto"/>
        <w:ind w:left="0"/>
        <w:rPr>
          <w:bCs/>
          <w:u w:val="single"/>
        </w:rPr>
      </w:pPr>
      <w:r>
        <w:rPr>
          <w:bCs/>
          <w:u w:val="single"/>
        </w:rPr>
        <w:t>Foreign exchange risk</w:t>
      </w:r>
    </w:p>
    <w:p w14:paraId="571A6402" w14:textId="77777777" w:rsidR="00B77686" w:rsidRDefault="00B77686" w:rsidP="00B77686">
      <w:pPr>
        <w:spacing w:line="240" w:lineRule="auto"/>
        <w:ind w:left="0"/>
      </w:pPr>
      <w:r>
        <w:t>LAML Group’s exposure to foreign exchange risk is through currency revenue receivables, currency intercompany transfer pricing balances and USD denominated compensation liabilities. To mitigate against these risks, LAML Group actively manages currency balances and maintains currency bank accounts as a natural hedge against payables and takes out foreign currency forward positions.  In this way, exposures are kept to a low net balance.</w:t>
      </w:r>
    </w:p>
    <w:p w14:paraId="2A7B9551" w14:textId="77777777" w:rsidR="00B77686" w:rsidRPr="00B65DA2" w:rsidRDefault="00B77686" w:rsidP="00B77686">
      <w:pPr>
        <w:ind w:left="0"/>
        <w:rPr>
          <w:bCs/>
          <w:u w:val="single"/>
        </w:rPr>
      </w:pPr>
      <w:r>
        <w:rPr>
          <w:bCs/>
          <w:u w:val="single"/>
        </w:rPr>
        <w:t xml:space="preserve">Indirect exposure to market risk through falling revenues on falling market </w:t>
      </w:r>
      <w:proofErr w:type="gramStart"/>
      <w:r>
        <w:rPr>
          <w:bCs/>
          <w:u w:val="single"/>
        </w:rPr>
        <w:t>values</w:t>
      </w:r>
      <w:proofErr w:type="gramEnd"/>
    </w:p>
    <w:p w14:paraId="6C086FEE" w14:textId="621C102D" w:rsidR="004C7F92" w:rsidRDefault="00B77686" w:rsidP="00B77686">
      <w:pPr>
        <w:spacing w:line="240" w:lineRule="auto"/>
        <w:ind w:left="0"/>
      </w:pPr>
      <w:r>
        <w:t>LAML’s exposure to macro market fluctuations is considered as part of the stress and scenario testing section.</w:t>
      </w:r>
    </w:p>
    <w:p w14:paraId="4A57A370" w14:textId="77777777" w:rsidR="00B77686" w:rsidRDefault="00B77686" w:rsidP="00B77686">
      <w:pPr>
        <w:spacing w:line="240" w:lineRule="auto"/>
        <w:ind w:left="0"/>
      </w:pPr>
    </w:p>
    <w:p w14:paraId="0C082B58" w14:textId="77777777" w:rsidR="00B77686" w:rsidRPr="00707B60" w:rsidRDefault="00B77686" w:rsidP="00B77686">
      <w:pPr>
        <w:spacing w:line="240" w:lineRule="auto"/>
        <w:ind w:left="0"/>
        <w:rPr>
          <w:rFonts w:ascii="Calibri" w:eastAsia="Calibri" w:hAnsi="Calibri" w:cs="Arial"/>
        </w:rPr>
      </w:pPr>
    </w:p>
    <w:p w14:paraId="212A6CE9" w14:textId="3AB0D599" w:rsidR="007E5FAE" w:rsidRPr="003C3467" w:rsidRDefault="007E5FAE" w:rsidP="007949A6">
      <w:pPr>
        <w:ind w:left="0"/>
      </w:pPr>
    </w:p>
    <w:p w14:paraId="1EBEB001" w14:textId="3735285B" w:rsidR="003C3467" w:rsidRPr="004C7F92" w:rsidRDefault="007E5FAE" w:rsidP="004C7F92">
      <w:pPr>
        <w:pStyle w:val="Heading2"/>
        <w:numPr>
          <w:ilvl w:val="2"/>
          <w:numId w:val="2"/>
        </w:numPr>
        <w:spacing w:after="100" w:afterAutospacing="1"/>
        <w:rPr>
          <w:rFonts w:asciiTheme="minorHAnsi" w:hAnsiTheme="minorHAnsi" w:cstheme="minorBidi"/>
        </w:rPr>
      </w:pPr>
      <w:bookmarkStart w:id="24" w:name="_Toc139016563"/>
      <w:r>
        <w:rPr>
          <w:rFonts w:asciiTheme="minorHAnsi" w:hAnsiTheme="minorHAnsi" w:cstheme="minorBidi"/>
        </w:rPr>
        <w:lastRenderedPageBreak/>
        <w:t>Investment Risk</w:t>
      </w:r>
      <w:bookmarkEnd w:id="24"/>
      <w:r w:rsidR="008016C5" w:rsidRPr="3498C462">
        <w:rPr>
          <w:rFonts w:asciiTheme="minorHAnsi" w:hAnsiTheme="minorHAnsi" w:cstheme="minorBidi"/>
        </w:rPr>
        <w:t xml:space="preserve"> </w:t>
      </w:r>
    </w:p>
    <w:p w14:paraId="480AB73B" w14:textId="77777777" w:rsidR="00B77686" w:rsidRDefault="0057312C" w:rsidP="00B77686">
      <w:pPr>
        <w:spacing w:line="240" w:lineRule="auto"/>
        <w:ind w:left="0"/>
      </w:pPr>
      <w:r w:rsidRPr="0057312C">
        <w:rPr>
          <w:rFonts w:ascii="Calibri" w:eastAsia="Calibri" w:hAnsi="Calibri" w:cs="Arial"/>
        </w:rPr>
        <w:t xml:space="preserve">Investment risk </w:t>
      </w:r>
      <w:r w:rsidR="00B77686">
        <w:t xml:space="preserve">is the risk of loss of AUM and/or loss of reputation due to investment performance. This risk is mitigated by the strong risk management culture within LAM and the constant flow of management information between the Group Risk Management (“GRM”) team, </w:t>
      </w:r>
      <w:proofErr w:type="gramStart"/>
      <w:r w:rsidR="00B77686">
        <w:t>PMs</w:t>
      </w:r>
      <w:proofErr w:type="gramEnd"/>
      <w:r w:rsidR="00B77686">
        <w:t xml:space="preserve"> and the Investment Management Group, as well as LAML Group Boards and their committees.  LAML’s ability to win new business, and retain current business, is </w:t>
      </w:r>
      <w:proofErr w:type="gramStart"/>
      <w:r w:rsidR="00B77686">
        <w:t>to a great extent</w:t>
      </w:r>
      <w:proofErr w:type="gramEnd"/>
      <w:r w:rsidR="00B77686">
        <w:t xml:space="preserve"> reliant on the performance of its strategies and products. LAML recognises its heavy exposure to performance risk and in mitigation of this risk, applies considerable resources, reporting systems and internal controls within its risk management framework to ensure its successful track record, including the following key internal business practices:</w:t>
      </w:r>
    </w:p>
    <w:p w14:paraId="5E241CE9" w14:textId="77777777" w:rsidR="00B77686" w:rsidRDefault="00B77686" w:rsidP="00B77686">
      <w:pPr>
        <w:spacing w:line="240" w:lineRule="auto"/>
        <w:ind w:left="0"/>
      </w:pPr>
      <w:r>
        <w:t xml:space="preserve">LAML's investment philosophy embraces </w:t>
      </w:r>
      <w:proofErr w:type="gramStart"/>
      <w:r>
        <w:t>a number of</w:t>
      </w:r>
      <w:proofErr w:type="gramEnd"/>
      <w:r>
        <w:t xml:space="preserve"> valuation methodologies and fundamental analysis to support a bottom-up stock selection approach used in the majority of strategies.  All portfolios are constructed as models using a team approach avoiding “Keyman” risk and a “star manager” mentality to seek to identify the best ideas to the benefit of all clients.  In-house research as well as external research underpins this approach.  The LAM Group Integrated Knowledge Platform of sector analysts supports equity products while some products also have their own specific analysts e.g. Emerging Markets.  The LAM Integrated Knowledge Platform is structured on a global basis. </w:t>
      </w:r>
    </w:p>
    <w:p w14:paraId="2A76059D" w14:textId="77777777" w:rsidR="00B77686" w:rsidRDefault="00B77686" w:rsidP="00B77686">
      <w:pPr>
        <w:spacing w:line="240" w:lineRule="auto"/>
        <w:ind w:left="0"/>
      </w:pPr>
      <w:r>
        <w:t xml:space="preserve">LAM’s teams of dedicated analysts look at industries across markets and regions unfettered by geography.  With analysts located around the world, there is a constant exchange of information and thematic ideas between analysts and dedicated portfolio management teams.  The quality of research is measured by the success of the research recommendations. The LAM Group places a particular emphasis on providing analysts with sufficient accountability and incentive so that they may generate strong, independent recommendations that contribute to the performance of all portfolios.  </w:t>
      </w:r>
    </w:p>
    <w:p w14:paraId="1E66E3B4" w14:textId="1639782D" w:rsidR="00B609C0" w:rsidRDefault="00B77686" w:rsidP="00B77686">
      <w:pPr>
        <w:spacing w:line="240" w:lineRule="auto"/>
        <w:ind w:left="0"/>
      </w:pPr>
      <w:r>
        <w:t>LAML controls risk through its bottom-up investment approach to security selection, which results in diversified portfolios across sectors.  The newer Quantitative models also have strong risk controls agreed with the Oversight Committee and the GRM team.   The Portfolio Management teams, in conjunction with the Group Risk Management (“GRM”) team, review the impact that each security will have, relative to the model’s risk control and diversification guidelines. Multiple investment risk control mechanisms (i.e. company specific risk, portfolio-related risk, macroeconomic risk, and external risk) are in place throughout all stages of the investment process.  Risk “Books” are produced on the relevant model strategies by the GRM.  The Head of the GRM prepares risk reports for the Oversight Committee, whose members receive strategy performance daily and focus on under-performing strategies or on unusual out performance.  In addition, LAML’s institutional client base and the consultant ratings process is another external check on investment performance.</w:t>
      </w:r>
    </w:p>
    <w:p w14:paraId="5EEE4878" w14:textId="1FA53216" w:rsidR="003C3467" w:rsidRPr="004C7F92" w:rsidRDefault="00456CD7" w:rsidP="004C7F92">
      <w:pPr>
        <w:pStyle w:val="Heading2"/>
        <w:numPr>
          <w:ilvl w:val="2"/>
          <w:numId w:val="2"/>
        </w:numPr>
        <w:spacing w:after="100" w:afterAutospacing="1"/>
        <w:rPr>
          <w:rFonts w:asciiTheme="minorHAnsi" w:hAnsiTheme="minorHAnsi" w:cstheme="minorBidi"/>
        </w:rPr>
      </w:pPr>
      <w:bookmarkStart w:id="25" w:name="_Toc1097394355"/>
      <w:bookmarkStart w:id="26" w:name="_Toc139016564"/>
      <w:r w:rsidRPr="3498C462">
        <w:rPr>
          <w:rFonts w:asciiTheme="minorHAnsi" w:hAnsiTheme="minorHAnsi" w:cstheme="minorBidi"/>
        </w:rPr>
        <w:t>Reputational Risk</w:t>
      </w:r>
      <w:bookmarkEnd w:id="25"/>
      <w:bookmarkEnd w:id="26"/>
      <w:r w:rsidRPr="3498C462">
        <w:rPr>
          <w:rFonts w:asciiTheme="minorHAnsi" w:hAnsiTheme="minorHAnsi" w:cstheme="minorBidi"/>
        </w:rPr>
        <w:t xml:space="preserve"> </w:t>
      </w:r>
    </w:p>
    <w:p w14:paraId="1B0AC1D4" w14:textId="77777777" w:rsidR="00B77686" w:rsidRDefault="00F85A36" w:rsidP="00B77686">
      <w:pPr>
        <w:spacing w:line="240" w:lineRule="auto"/>
        <w:ind w:left="0"/>
      </w:pPr>
      <w:bookmarkStart w:id="27" w:name="_Toc60051126"/>
      <w:r w:rsidRPr="00F85A36">
        <w:rPr>
          <w:rFonts w:ascii="Calibri" w:eastAsia="Calibri" w:hAnsi="Calibri" w:cs="Arial"/>
        </w:rPr>
        <w:t xml:space="preserve">LAML Group </w:t>
      </w:r>
      <w:r w:rsidR="00B77686">
        <w:t xml:space="preserve">recognises its reputation as one of its most valuable assets. Reputational damage can often occur </w:t>
      </w:r>
      <w:proofErr w:type="gramStart"/>
      <w:r w:rsidR="00B77686">
        <w:t>as a consequence of</w:t>
      </w:r>
      <w:proofErr w:type="gramEnd"/>
      <w:r w:rsidR="00B77686">
        <w:t xml:space="preserve"> the failure to manage other risks, for example Regulatory, Investment Performance, Legal and Operational Risks; and many of these have been examined elsewhere within this ICARA. It is the view of the LAML Group Boards that no amount of capital can mitigate a serious loss of reputation including at LAM Group level, resulting in a loss of clients and revenue, given its </w:t>
      </w:r>
      <w:proofErr w:type="gramStart"/>
      <w:r w:rsidR="00B77686">
        <w:t>particular client</w:t>
      </w:r>
      <w:proofErr w:type="gramEnd"/>
      <w:r w:rsidR="00B77686">
        <w:t xml:space="preserve"> base. A wind down may be invoked.</w:t>
      </w:r>
    </w:p>
    <w:p w14:paraId="5C20439E" w14:textId="2E8E775B" w:rsidR="00F85A36" w:rsidRPr="00B77686" w:rsidRDefault="00B77686" w:rsidP="00B77686">
      <w:pPr>
        <w:spacing w:line="240" w:lineRule="auto"/>
        <w:ind w:left="0"/>
      </w:pPr>
      <w:r>
        <w:t>The risk that unethical practices in the organisation will be exposed, also represents a danger to LAML Group’s reputation. The business has taken specific steps through its governance and culture to ensure that its employees behave within tight guidelines and are fully aware of the sanctions if not. These include:</w:t>
      </w:r>
    </w:p>
    <w:p w14:paraId="5CCEEF78" w14:textId="77777777" w:rsidR="00F85A36" w:rsidRPr="00F85A36" w:rsidRDefault="00F85A36">
      <w:pPr>
        <w:numPr>
          <w:ilvl w:val="0"/>
          <w:numId w:val="22"/>
        </w:numPr>
        <w:spacing w:line="240" w:lineRule="auto"/>
        <w:contextualSpacing/>
        <w:rPr>
          <w:rFonts w:ascii="Calibri" w:eastAsia="Calibri" w:hAnsi="Calibri" w:cs="Arial"/>
        </w:rPr>
      </w:pPr>
      <w:r w:rsidRPr="00F85A36">
        <w:rPr>
          <w:rFonts w:ascii="Calibri" w:eastAsia="Calibri" w:hAnsi="Calibri" w:cs="Arial"/>
        </w:rPr>
        <w:lastRenderedPageBreak/>
        <w:t>One on one induction training, including induction training from Compliance, as well as a continued programme of Compliance training across the firm, including workplace behaviour training.</w:t>
      </w:r>
    </w:p>
    <w:p w14:paraId="09C5BE17" w14:textId="77777777" w:rsidR="00F85A36" w:rsidRPr="00F85A36" w:rsidRDefault="00F85A36">
      <w:pPr>
        <w:numPr>
          <w:ilvl w:val="0"/>
          <w:numId w:val="22"/>
        </w:numPr>
        <w:spacing w:line="240" w:lineRule="auto"/>
        <w:contextualSpacing/>
        <w:rPr>
          <w:rFonts w:ascii="Calibri" w:eastAsia="Calibri" w:hAnsi="Calibri" w:cs="Arial"/>
        </w:rPr>
      </w:pPr>
      <w:r w:rsidRPr="00F85A36">
        <w:rPr>
          <w:rFonts w:ascii="Calibri" w:eastAsia="Calibri" w:hAnsi="Calibri" w:cs="Arial"/>
        </w:rPr>
        <w:t>Having a culture which recognises that the clients’ interests (“Treating Customers Fairly”) come first.</w:t>
      </w:r>
    </w:p>
    <w:p w14:paraId="021A36A0" w14:textId="77777777" w:rsidR="00F85A36" w:rsidRPr="00F85A36" w:rsidRDefault="00F85A36">
      <w:pPr>
        <w:numPr>
          <w:ilvl w:val="0"/>
          <w:numId w:val="22"/>
        </w:numPr>
        <w:spacing w:line="240" w:lineRule="auto"/>
        <w:contextualSpacing/>
        <w:rPr>
          <w:rFonts w:ascii="Calibri" w:eastAsia="Calibri" w:hAnsi="Calibri" w:cs="Arial"/>
        </w:rPr>
      </w:pPr>
      <w:r w:rsidRPr="00F85A36">
        <w:rPr>
          <w:rFonts w:ascii="Calibri" w:eastAsia="Calibri" w:hAnsi="Calibri" w:cs="Arial"/>
        </w:rPr>
        <w:t>Senior Management supervision, coaching and direction.</w:t>
      </w:r>
    </w:p>
    <w:p w14:paraId="42AE496E" w14:textId="77777777" w:rsidR="00F85A36" w:rsidRPr="00F85A36" w:rsidRDefault="00F85A36">
      <w:pPr>
        <w:numPr>
          <w:ilvl w:val="0"/>
          <w:numId w:val="22"/>
        </w:numPr>
        <w:spacing w:line="240" w:lineRule="auto"/>
        <w:contextualSpacing/>
        <w:rPr>
          <w:rFonts w:ascii="Calibri" w:eastAsia="Calibri" w:hAnsi="Calibri" w:cs="Arial"/>
        </w:rPr>
      </w:pPr>
      <w:r w:rsidRPr="00F85A36">
        <w:rPr>
          <w:rFonts w:ascii="Calibri" w:eastAsia="Calibri" w:hAnsi="Calibri" w:cs="Arial"/>
        </w:rPr>
        <w:t>Instilling a sound compliance and ethical culture where sanctions will be imposed on personnel at all levels of seniority.</w:t>
      </w:r>
    </w:p>
    <w:p w14:paraId="3343C85F" w14:textId="77777777" w:rsidR="00F85A36" w:rsidRPr="00F85A36" w:rsidRDefault="00F85A36">
      <w:pPr>
        <w:numPr>
          <w:ilvl w:val="0"/>
          <w:numId w:val="22"/>
        </w:numPr>
        <w:spacing w:line="240" w:lineRule="auto"/>
        <w:contextualSpacing/>
        <w:rPr>
          <w:rFonts w:ascii="Calibri" w:eastAsia="Calibri" w:hAnsi="Calibri" w:cs="Arial"/>
        </w:rPr>
      </w:pPr>
      <w:r w:rsidRPr="00F85A36">
        <w:rPr>
          <w:rFonts w:ascii="Calibri" w:eastAsia="Calibri" w:hAnsi="Calibri" w:cs="Arial"/>
        </w:rPr>
        <w:t>Restricted lists and regular Market Abuse training with strong messaging of “no tolerance”.</w:t>
      </w:r>
    </w:p>
    <w:p w14:paraId="4A6AB2F6" w14:textId="77777777" w:rsidR="00F85A36" w:rsidRPr="00F85A36" w:rsidRDefault="00F85A36">
      <w:pPr>
        <w:numPr>
          <w:ilvl w:val="0"/>
          <w:numId w:val="22"/>
        </w:numPr>
        <w:spacing w:line="240" w:lineRule="auto"/>
        <w:contextualSpacing/>
        <w:rPr>
          <w:rFonts w:ascii="Calibri" w:eastAsia="Calibri" w:hAnsi="Calibri" w:cs="Arial"/>
        </w:rPr>
      </w:pPr>
      <w:r w:rsidRPr="00F85A36">
        <w:rPr>
          <w:rFonts w:ascii="Calibri" w:eastAsia="Calibri" w:hAnsi="Calibri" w:cs="Arial"/>
        </w:rPr>
        <w:t>Open access to senior management, through both informal and formal mediums.</w:t>
      </w:r>
    </w:p>
    <w:p w14:paraId="7A606805" w14:textId="77777777" w:rsidR="00F85A36" w:rsidRPr="00F85A36" w:rsidRDefault="00F85A36">
      <w:pPr>
        <w:numPr>
          <w:ilvl w:val="0"/>
          <w:numId w:val="22"/>
        </w:numPr>
        <w:spacing w:line="240" w:lineRule="auto"/>
        <w:contextualSpacing/>
        <w:rPr>
          <w:rFonts w:ascii="Calibri" w:eastAsia="Calibri" w:hAnsi="Calibri" w:cs="Arial"/>
        </w:rPr>
      </w:pPr>
      <w:r w:rsidRPr="00F85A36">
        <w:rPr>
          <w:rFonts w:ascii="Calibri" w:eastAsia="Calibri" w:hAnsi="Calibri" w:cs="Arial"/>
        </w:rPr>
        <w:t>Strong Human Resource area linked into the LAML Business, with open access to the LAML CEO, LAM LLC CEO and Legal &amp; Compliance.</w:t>
      </w:r>
    </w:p>
    <w:p w14:paraId="5F839428" w14:textId="77777777" w:rsidR="00F85A36" w:rsidRPr="00F85A36" w:rsidRDefault="00F85A36">
      <w:pPr>
        <w:numPr>
          <w:ilvl w:val="0"/>
          <w:numId w:val="22"/>
        </w:numPr>
        <w:spacing w:line="240" w:lineRule="auto"/>
        <w:contextualSpacing/>
        <w:rPr>
          <w:rFonts w:ascii="Calibri" w:eastAsia="Calibri" w:hAnsi="Calibri" w:cs="Arial"/>
        </w:rPr>
      </w:pPr>
      <w:r w:rsidRPr="00F85A36">
        <w:rPr>
          <w:rFonts w:ascii="Calibri" w:eastAsia="Calibri" w:hAnsi="Calibri" w:cs="Arial"/>
        </w:rPr>
        <w:t>Skilled and experienced legal and compliance team working in the business.</w:t>
      </w:r>
    </w:p>
    <w:p w14:paraId="55D7A49D" w14:textId="77777777" w:rsidR="00F85A36" w:rsidRPr="00F85A36" w:rsidRDefault="00F85A36">
      <w:pPr>
        <w:numPr>
          <w:ilvl w:val="0"/>
          <w:numId w:val="22"/>
        </w:numPr>
        <w:spacing w:line="240" w:lineRule="auto"/>
        <w:contextualSpacing/>
        <w:rPr>
          <w:rFonts w:ascii="Calibri" w:eastAsia="Calibri" w:hAnsi="Calibri" w:cs="Arial"/>
        </w:rPr>
      </w:pPr>
      <w:r w:rsidRPr="00F85A36">
        <w:rPr>
          <w:rFonts w:ascii="Calibri" w:eastAsia="Calibri" w:hAnsi="Calibri" w:cs="Arial"/>
        </w:rPr>
        <w:t>Training specifically on regulatory themes and in areas of conflict management.</w:t>
      </w:r>
    </w:p>
    <w:p w14:paraId="4CD2EBF5" w14:textId="77777777" w:rsidR="00F85A36" w:rsidRPr="00F85A36" w:rsidRDefault="00F85A36">
      <w:pPr>
        <w:numPr>
          <w:ilvl w:val="0"/>
          <w:numId w:val="22"/>
        </w:numPr>
        <w:spacing w:line="240" w:lineRule="auto"/>
        <w:contextualSpacing/>
        <w:rPr>
          <w:rFonts w:ascii="Calibri" w:eastAsia="Calibri" w:hAnsi="Calibri" w:cs="Arial"/>
        </w:rPr>
      </w:pPr>
      <w:r w:rsidRPr="00F85A36">
        <w:rPr>
          <w:rFonts w:ascii="Calibri" w:eastAsia="Calibri" w:hAnsi="Calibri" w:cs="Arial"/>
        </w:rPr>
        <w:t>Robust Gifts and Entertainment Policy, which is monitored by Compliance.</w:t>
      </w:r>
    </w:p>
    <w:p w14:paraId="52B2F670" w14:textId="77777777" w:rsidR="00F85A36" w:rsidRPr="00F85A36" w:rsidRDefault="00F85A36">
      <w:pPr>
        <w:numPr>
          <w:ilvl w:val="0"/>
          <w:numId w:val="22"/>
        </w:numPr>
        <w:spacing w:line="240" w:lineRule="auto"/>
        <w:contextualSpacing/>
        <w:rPr>
          <w:rFonts w:ascii="Calibri" w:eastAsia="Calibri" w:hAnsi="Calibri" w:cs="Arial"/>
        </w:rPr>
      </w:pPr>
      <w:r w:rsidRPr="00F85A36">
        <w:rPr>
          <w:rFonts w:ascii="Calibri" w:eastAsia="Calibri" w:hAnsi="Calibri" w:cs="Arial"/>
        </w:rPr>
        <w:t>Robust Marketing review and sign off policies.</w:t>
      </w:r>
    </w:p>
    <w:p w14:paraId="36A4F7C3" w14:textId="5EC48AFB" w:rsidR="00F85A36" w:rsidRPr="00F85A36" w:rsidRDefault="00F85A36">
      <w:pPr>
        <w:numPr>
          <w:ilvl w:val="0"/>
          <w:numId w:val="22"/>
        </w:numPr>
        <w:spacing w:line="240" w:lineRule="auto"/>
        <w:contextualSpacing/>
        <w:rPr>
          <w:rFonts w:ascii="Calibri" w:eastAsia="Calibri" w:hAnsi="Calibri" w:cs="Arial"/>
        </w:rPr>
      </w:pPr>
      <w:r w:rsidRPr="00F85A36">
        <w:rPr>
          <w:rFonts w:ascii="Calibri" w:eastAsia="Calibri" w:hAnsi="Calibri" w:cs="Arial"/>
        </w:rPr>
        <w:t xml:space="preserve">Expense Policy. Expenses in LAML are signed off at COO/CEO </w:t>
      </w:r>
      <w:proofErr w:type="gramStart"/>
      <w:r w:rsidRPr="00F85A36">
        <w:rPr>
          <w:rFonts w:ascii="Calibri" w:eastAsia="Calibri" w:hAnsi="Calibri" w:cs="Arial"/>
        </w:rPr>
        <w:t>level</w:t>
      </w:r>
      <w:proofErr w:type="gramEnd"/>
    </w:p>
    <w:p w14:paraId="71C1BBD8" w14:textId="77777777" w:rsidR="00F85A36" w:rsidRPr="00F85A36" w:rsidRDefault="00F85A36">
      <w:pPr>
        <w:numPr>
          <w:ilvl w:val="0"/>
          <w:numId w:val="22"/>
        </w:numPr>
        <w:spacing w:line="240" w:lineRule="auto"/>
        <w:contextualSpacing/>
        <w:rPr>
          <w:rFonts w:ascii="Calibri" w:eastAsia="Calibri" w:hAnsi="Calibri" w:cs="Arial"/>
        </w:rPr>
      </w:pPr>
      <w:r w:rsidRPr="00F85A36">
        <w:rPr>
          <w:rFonts w:ascii="Calibri" w:eastAsia="Calibri" w:hAnsi="Calibri" w:cs="Arial"/>
        </w:rPr>
        <w:t>Personal Account Dealing Policy. Distributed and monitored by Legal &amp; Compliance. PA Dealing must be pre-cleared, and certifications are sought quarterly.</w:t>
      </w:r>
    </w:p>
    <w:p w14:paraId="5FC943AB" w14:textId="590C380A" w:rsidR="00485163" w:rsidRPr="00445321" w:rsidRDefault="00F85A36" w:rsidP="00445321">
      <w:pPr>
        <w:numPr>
          <w:ilvl w:val="0"/>
          <w:numId w:val="22"/>
        </w:numPr>
        <w:spacing w:line="240" w:lineRule="auto"/>
        <w:contextualSpacing/>
        <w:rPr>
          <w:rFonts w:ascii="Calibri" w:eastAsia="Calibri" w:hAnsi="Calibri" w:cs="Arial"/>
        </w:rPr>
      </w:pPr>
      <w:r w:rsidRPr="00F85A36">
        <w:rPr>
          <w:rFonts w:ascii="Calibri" w:eastAsia="Calibri" w:hAnsi="Calibri" w:cs="Arial"/>
        </w:rPr>
        <w:t>Monitoring carried out by Internal Audit and Compliance</w:t>
      </w:r>
    </w:p>
    <w:p w14:paraId="625BC00F" w14:textId="0FD21E28" w:rsidR="003C3467" w:rsidRPr="004C7F92" w:rsidRDefault="00865F2F" w:rsidP="00445321">
      <w:pPr>
        <w:pStyle w:val="Heading2"/>
        <w:numPr>
          <w:ilvl w:val="2"/>
          <w:numId w:val="2"/>
        </w:numPr>
        <w:spacing w:before="240" w:after="100" w:afterAutospacing="1"/>
        <w:rPr>
          <w:rFonts w:asciiTheme="minorHAnsi" w:hAnsiTheme="minorHAnsi" w:cstheme="minorBidi"/>
        </w:rPr>
      </w:pPr>
      <w:bookmarkStart w:id="28" w:name="_Toc1669215996"/>
      <w:bookmarkStart w:id="29" w:name="_Toc139016565"/>
      <w:bookmarkEnd w:id="27"/>
      <w:r w:rsidRPr="3498C462">
        <w:rPr>
          <w:rFonts w:asciiTheme="minorHAnsi" w:hAnsiTheme="minorHAnsi" w:cstheme="minorBidi"/>
        </w:rPr>
        <w:t>Operational Risk</w:t>
      </w:r>
      <w:bookmarkEnd w:id="28"/>
      <w:bookmarkEnd w:id="29"/>
    </w:p>
    <w:p w14:paraId="498164FC" w14:textId="2AC0144E" w:rsidR="00524BED" w:rsidRPr="00524BED" w:rsidRDefault="00524BED" w:rsidP="00524BED">
      <w:pPr>
        <w:spacing w:line="240" w:lineRule="auto"/>
        <w:ind w:left="0"/>
        <w:rPr>
          <w:rFonts w:ascii="Calibri" w:eastAsia="Calibri" w:hAnsi="Calibri" w:cs="Arial"/>
        </w:rPr>
      </w:pPr>
      <w:r w:rsidRPr="00524BED">
        <w:rPr>
          <w:rFonts w:ascii="Calibri" w:eastAsia="Calibri" w:hAnsi="Calibri" w:cs="Arial"/>
        </w:rPr>
        <w:t xml:space="preserve">Operational risk </w:t>
      </w:r>
      <w:r w:rsidR="00B77686">
        <w:t xml:space="preserve">is the risk of direct or indirect loss resulting from inadequate or failed internal processes, </w:t>
      </w:r>
      <w:proofErr w:type="gramStart"/>
      <w:r w:rsidR="00B77686">
        <w:t>people</w:t>
      </w:r>
      <w:proofErr w:type="gramEnd"/>
      <w:r w:rsidR="00B77686">
        <w:t xml:space="preserve"> and systems or from external events. Operational risk is broken down into two main areas:</w:t>
      </w:r>
    </w:p>
    <w:p w14:paraId="040C05C5" w14:textId="77777777" w:rsidR="00524BED" w:rsidRPr="00524BED" w:rsidRDefault="00524BED" w:rsidP="00524BED">
      <w:pPr>
        <w:spacing w:line="240" w:lineRule="auto"/>
        <w:ind w:left="0"/>
        <w:rPr>
          <w:rFonts w:ascii="Calibri" w:eastAsia="Calibri" w:hAnsi="Calibri" w:cs="Arial"/>
        </w:rPr>
      </w:pPr>
      <w:r w:rsidRPr="00524BED">
        <w:rPr>
          <w:rFonts w:ascii="Calibri" w:eastAsia="Calibri" w:hAnsi="Calibri" w:cs="Arial"/>
        </w:rPr>
        <w:t>1)</w:t>
      </w:r>
      <w:r w:rsidRPr="00524BED">
        <w:rPr>
          <w:rFonts w:ascii="Calibri" w:eastAsia="Calibri" w:hAnsi="Calibri" w:cs="Arial"/>
        </w:rPr>
        <w:tab/>
        <w:t xml:space="preserve">Control Risk – loss from inadequate controls </w:t>
      </w:r>
    </w:p>
    <w:p w14:paraId="5C461175" w14:textId="77777777" w:rsidR="00524BED" w:rsidRPr="00524BED" w:rsidRDefault="00524BED" w:rsidP="00524BED">
      <w:pPr>
        <w:spacing w:line="240" w:lineRule="auto"/>
        <w:ind w:left="0"/>
        <w:rPr>
          <w:rFonts w:ascii="Calibri" w:eastAsia="Calibri" w:hAnsi="Calibri" w:cs="Arial"/>
        </w:rPr>
      </w:pPr>
      <w:r w:rsidRPr="00524BED">
        <w:rPr>
          <w:rFonts w:ascii="Calibri" w:eastAsia="Calibri" w:hAnsi="Calibri" w:cs="Arial"/>
        </w:rPr>
        <w:t>2)</w:t>
      </w:r>
      <w:r w:rsidRPr="00524BED">
        <w:rPr>
          <w:rFonts w:ascii="Calibri" w:eastAsia="Calibri" w:hAnsi="Calibri" w:cs="Arial"/>
        </w:rPr>
        <w:tab/>
        <w:t xml:space="preserve">Systems Risk – loss stemming from infrastructure, </w:t>
      </w:r>
      <w:proofErr w:type="gramStart"/>
      <w:r w:rsidRPr="00524BED">
        <w:rPr>
          <w:rFonts w:ascii="Calibri" w:eastAsia="Calibri" w:hAnsi="Calibri" w:cs="Arial"/>
        </w:rPr>
        <w:t>communication</w:t>
      </w:r>
      <w:proofErr w:type="gramEnd"/>
      <w:r w:rsidRPr="00524BED">
        <w:rPr>
          <w:rFonts w:ascii="Calibri" w:eastAsia="Calibri" w:hAnsi="Calibri" w:cs="Arial"/>
        </w:rPr>
        <w:t xml:space="preserve"> and single application weaknesses </w:t>
      </w:r>
    </w:p>
    <w:p w14:paraId="0718ACDE" w14:textId="77777777" w:rsidR="00524BED" w:rsidRPr="00524BED" w:rsidRDefault="00524BED" w:rsidP="00524BED">
      <w:pPr>
        <w:spacing w:line="240" w:lineRule="auto"/>
        <w:ind w:left="0"/>
        <w:rPr>
          <w:rFonts w:ascii="Calibri" w:eastAsia="Calibri" w:hAnsi="Calibri" w:cs="Arial"/>
        </w:rPr>
      </w:pPr>
      <w:r w:rsidRPr="00524BED">
        <w:rPr>
          <w:rFonts w:ascii="Calibri" w:eastAsia="Calibri" w:hAnsi="Calibri" w:cs="Arial"/>
        </w:rPr>
        <w:t xml:space="preserve">LAML Group’s management of operational risk is paramount, and we have instilled a risk control culture, which covers </w:t>
      </w:r>
      <w:proofErr w:type="gramStart"/>
      <w:r w:rsidRPr="00524BED">
        <w:rPr>
          <w:rFonts w:ascii="Calibri" w:eastAsia="Calibri" w:hAnsi="Calibri" w:cs="Arial"/>
        </w:rPr>
        <w:t>a number of</w:t>
      </w:r>
      <w:proofErr w:type="gramEnd"/>
      <w:r w:rsidRPr="00524BED">
        <w:rPr>
          <w:rFonts w:ascii="Calibri" w:eastAsia="Calibri" w:hAnsi="Calibri" w:cs="Arial"/>
        </w:rPr>
        <w:t xml:space="preserve"> different factors: </w:t>
      </w:r>
    </w:p>
    <w:p w14:paraId="58AC81AF" w14:textId="77777777" w:rsidR="00524BED" w:rsidRPr="00524BED" w:rsidRDefault="00524BED">
      <w:pPr>
        <w:numPr>
          <w:ilvl w:val="0"/>
          <w:numId w:val="23"/>
        </w:numPr>
        <w:spacing w:line="240" w:lineRule="auto"/>
        <w:contextualSpacing/>
        <w:rPr>
          <w:rFonts w:ascii="Calibri" w:eastAsia="Calibri" w:hAnsi="Calibri" w:cs="Arial"/>
        </w:rPr>
      </w:pPr>
      <w:r w:rsidRPr="00524BED">
        <w:rPr>
          <w:rFonts w:ascii="Calibri" w:eastAsia="Calibri" w:hAnsi="Calibri" w:cs="Arial"/>
        </w:rPr>
        <w:t xml:space="preserve">Comprehension – understanding the conditions and state of the </w:t>
      </w:r>
      <w:proofErr w:type="gramStart"/>
      <w:r w:rsidRPr="00524BED">
        <w:rPr>
          <w:rFonts w:ascii="Calibri" w:eastAsia="Calibri" w:hAnsi="Calibri" w:cs="Arial"/>
        </w:rPr>
        <w:t>Group</w:t>
      </w:r>
      <w:proofErr w:type="gramEnd"/>
      <w:r w:rsidRPr="00524BED">
        <w:rPr>
          <w:rFonts w:ascii="Calibri" w:eastAsia="Calibri" w:hAnsi="Calibri" w:cs="Arial"/>
        </w:rPr>
        <w:t xml:space="preserve"> </w:t>
      </w:r>
    </w:p>
    <w:p w14:paraId="6CF809E3" w14:textId="77777777" w:rsidR="00524BED" w:rsidRPr="00524BED" w:rsidRDefault="00524BED">
      <w:pPr>
        <w:numPr>
          <w:ilvl w:val="0"/>
          <w:numId w:val="23"/>
        </w:numPr>
        <w:spacing w:line="240" w:lineRule="auto"/>
        <w:contextualSpacing/>
        <w:rPr>
          <w:rFonts w:ascii="Calibri" w:eastAsia="Calibri" w:hAnsi="Calibri" w:cs="Arial"/>
        </w:rPr>
      </w:pPr>
      <w:r w:rsidRPr="00524BED">
        <w:rPr>
          <w:rFonts w:ascii="Calibri" w:eastAsia="Calibri" w:hAnsi="Calibri" w:cs="Arial"/>
        </w:rPr>
        <w:t xml:space="preserve">Controls &amp; Checks – an effective risk management framework </w:t>
      </w:r>
    </w:p>
    <w:p w14:paraId="02A03837" w14:textId="77777777" w:rsidR="00524BED" w:rsidRPr="00524BED" w:rsidRDefault="00524BED">
      <w:pPr>
        <w:numPr>
          <w:ilvl w:val="0"/>
          <w:numId w:val="23"/>
        </w:numPr>
        <w:spacing w:line="240" w:lineRule="auto"/>
        <w:contextualSpacing/>
        <w:rPr>
          <w:rFonts w:ascii="Calibri" w:eastAsia="Calibri" w:hAnsi="Calibri" w:cs="Arial"/>
        </w:rPr>
      </w:pPr>
      <w:r w:rsidRPr="00524BED">
        <w:rPr>
          <w:rFonts w:ascii="Calibri" w:eastAsia="Calibri" w:hAnsi="Calibri" w:cs="Arial"/>
        </w:rPr>
        <w:t xml:space="preserve">Communication – clear and concise, timely and effective reporting mechanisms </w:t>
      </w:r>
    </w:p>
    <w:p w14:paraId="57993513" w14:textId="77777777" w:rsidR="00524BED" w:rsidRPr="00524BED" w:rsidRDefault="00524BED">
      <w:pPr>
        <w:numPr>
          <w:ilvl w:val="0"/>
          <w:numId w:val="23"/>
        </w:numPr>
        <w:spacing w:line="240" w:lineRule="auto"/>
        <w:contextualSpacing/>
        <w:rPr>
          <w:rFonts w:ascii="Calibri" w:eastAsia="Calibri" w:hAnsi="Calibri" w:cs="Arial"/>
        </w:rPr>
      </w:pPr>
      <w:r w:rsidRPr="00524BED">
        <w:rPr>
          <w:rFonts w:ascii="Calibri" w:eastAsia="Calibri" w:hAnsi="Calibri" w:cs="Arial"/>
        </w:rPr>
        <w:t xml:space="preserve">Culture – risk awareness </w:t>
      </w:r>
    </w:p>
    <w:p w14:paraId="2B96025B" w14:textId="77777777" w:rsidR="00524BED" w:rsidRPr="00524BED" w:rsidRDefault="00524BED">
      <w:pPr>
        <w:numPr>
          <w:ilvl w:val="0"/>
          <w:numId w:val="23"/>
        </w:numPr>
        <w:spacing w:line="240" w:lineRule="auto"/>
        <w:contextualSpacing/>
        <w:rPr>
          <w:rFonts w:ascii="Calibri" w:eastAsia="Calibri" w:hAnsi="Calibri" w:cs="Arial"/>
        </w:rPr>
      </w:pPr>
      <w:r w:rsidRPr="00524BED">
        <w:rPr>
          <w:rFonts w:ascii="Calibri" w:eastAsia="Calibri" w:hAnsi="Calibri" w:cs="Arial"/>
        </w:rPr>
        <w:t xml:space="preserve">Correct Weaknesses – ensure timely and robust remedial </w:t>
      </w:r>
      <w:proofErr w:type="gramStart"/>
      <w:r w:rsidRPr="00524BED">
        <w:rPr>
          <w:rFonts w:ascii="Calibri" w:eastAsia="Calibri" w:hAnsi="Calibri" w:cs="Arial"/>
        </w:rPr>
        <w:t>action</w:t>
      </w:r>
      <w:proofErr w:type="gramEnd"/>
      <w:r w:rsidRPr="00524BED">
        <w:rPr>
          <w:rFonts w:ascii="Calibri" w:eastAsia="Calibri" w:hAnsi="Calibri" w:cs="Arial"/>
        </w:rPr>
        <w:t xml:space="preserve"> </w:t>
      </w:r>
    </w:p>
    <w:p w14:paraId="34E52F7B" w14:textId="77777777" w:rsidR="00524BED" w:rsidRPr="00524BED" w:rsidRDefault="00524BED">
      <w:pPr>
        <w:numPr>
          <w:ilvl w:val="0"/>
          <w:numId w:val="23"/>
        </w:numPr>
        <w:spacing w:line="240" w:lineRule="auto"/>
        <w:contextualSpacing/>
        <w:rPr>
          <w:rFonts w:ascii="Calibri" w:eastAsia="Calibri" w:hAnsi="Calibri" w:cs="Arial"/>
        </w:rPr>
      </w:pPr>
      <w:r w:rsidRPr="00524BED">
        <w:rPr>
          <w:rFonts w:ascii="Calibri" w:eastAsia="Calibri" w:hAnsi="Calibri" w:cs="Arial"/>
        </w:rPr>
        <w:t>Compliance – monitor conformity with applicable regulations and procedures</w:t>
      </w:r>
    </w:p>
    <w:p w14:paraId="575B5407" w14:textId="77777777" w:rsidR="00524BED" w:rsidRPr="00524BED" w:rsidRDefault="00524BED">
      <w:pPr>
        <w:numPr>
          <w:ilvl w:val="0"/>
          <w:numId w:val="23"/>
        </w:numPr>
        <w:spacing w:line="240" w:lineRule="auto"/>
        <w:contextualSpacing/>
        <w:rPr>
          <w:rFonts w:ascii="Calibri" w:eastAsia="Calibri" w:hAnsi="Calibri" w:cs="Arial"/>
        </w:rPr>
      </w:pPr>
      <w:r w:rsidRPr="00524BED">
        <w:rPr>
          <w:rFonts w:ascii="Calibri" w:eastAsia="Calibri" w:hAnsi="Calibri" w:cs="Arial"/>
        </w:rPr>
        <w:t>Management Information – regular reporting from business areas</w:t>
      </w:r>
    </w:p>
    <w:p w14:paraId="65B38248" w14:textId="77777777" w:rsidR="00524BED" w:rsidRPr="00524BED" w:rsidRDefault="00524BED">
      <w:pPr>
        <w:numPr>
          <w:ilvl w:val="0"/>
          <w:numId w:val="23"/>
        </w:numPr>
        <w:spacing w:line="240" w:lineRule="auto"/>
        <w:contextualSpacing/>
        <w:rPr>
          <w:rFonts w:ascii="Calibri" w:eastAsia="Calibri" w:hAnsi="Calibri" w:cs="Arial"/>
        </w:rPr>
      </w:pPr>
      <w:r w:rsidRPr="00524BED">
        <w:rPr>
          <w:rFonts w:ascii="Calibri" w:eastAsia="Calibri" w:hAnsi="Calibri" w:cs="Arial"/>
        </w:rPr>
        <w:t xml:space="preserve">Training – continued staff development, </w:t>
      </w:r>
      <w:proofErr w:type="gramStart"/>
      <w:r w:rsidRPr="00524BED">
        <w:rPr>
          <w:rFonts w:ascii="Calibri" w:eastAsia="Calibri" w:hAnsi="Calibri" w:cs="Arial"/>
        </w:rPr>
        <w:t>appraisals</w:t>
      </w:r>
      <w:proofErr w:type="gramEnd"/>
      <w:r w:rsidRPr="00524BED">
        <w:rPr>
          <w:rFonts w:ascii="Calibri" w:eastAsia="Calibri" w:hAnsi="Calibri" w:cs="Arial"/>
        </w:rPr>
        <w:t xml:space="preserve"> and performance targets</w:t>
      </w:r>
    </w:p>
    <w:p w14:paraId="3299FA05" w14:textId="77777777" w:rsidR="00524BED" w:rsidRPr="00524BED" w:rsidRDefault="00524BED">
      <w:pPr>
        <w:numPr>
          <w:ilvl w:val="0"/>
          <w:numId w:val="23"/>
        </w:numPr>
        <w:spacing w:line="240" w:lineRule="auto"/>
        <w:contextualSpacing/>
        <w:rPr>
          <w:rFonts w:ascii="Calibri" w:eastAsia="Calibri" w:hAnsi="Calibri" w:cs="Arial"/>
        </w:rPr>
      </w:pPr>
      <w:r w:rsidRPr="00524BED">
        <w:rPr>
          <w:rFonts w:ascii="Calibri" w:eastAsia="Calibri" w:hAnsi="Calibri" w:cs="Arial"/>
        </w:rPr>
        <w:t>Business Continuity Planning – regular review and testing</w:t>
      </w:r>
    </w:p>
    <w:p w14:paraId="581960F1" w14:textId="77777777" w:rsidR="00524BED" w:rsidRDefault="00524BED">
      <w:pPr>
        <w:numPr>
          <w:ilvl w:val="0"/>
          <w:numId w:val="23"/>
        </w:numPr>
        <w:spacing w:line="240" w:lineRule="auto"/>
        <w:contextualSpacing/>
        <w:rPr>
          <w:rFonts w:ascii="Calibri" w:eastAsia="Calibri" w:hAnsi="Calibri" w:cs="Arial"/>
        </w:rPr>
      </w:pPr>
      <w:r w:rsidRPr="00524BED">
        <w:rPr>
          <w:rFonts w:ascii="Calibri" w:eastAsia="Calibri" w:hAnsi="Calibri" w:cs="Arial"/>
        </w:rPr>
        <w:t>Segregation of duties – trade flow process is split between three separate teams: the portfolio manager, the Portfolio Implementation team, and the Dealing Desk.</w:t>
      </w:r>
    </w:p>
    <w:p w14:paraId="027B0B5B" w14:textId="77777777" w:rsidR="00B77686" w:rsidRPr="00524BED" w:rsidRDefault="00B77686" w:rsidP="00B77686">
      <w:pPr>
        <w:spacing w:line="240" w:lineRule="auto"/>
        <w:ind w:left="720"/>
        <w:contextualSpacing/>
        <w:rPr>
          <w:rFonts w:ascii="Calibri" w:eastAsia="Calibri" w:hAnsi="Calibri" w:cs="Arial"/>
        </w:rPr>
      </w:pPr>
    </w:p>
    <w:p w14:paraId="60A8D032" w14:textId="2CE8BA82" w:rsidR="00524BED" w:rsidRPr="00524BED" w:rsidRDefault="00524BED" w:rsidP="00524BED">
      <w:pPr>
        <w:spacing w:line="240" w:lineRule="auto"/>
        <w:ind w:left="0"/>
        <w:rPr>
          <w:rFonts w:ascii="Calibri" w:eastAsia="Calibri" w:hAnsi="Calibri" w:cs="Arial"/>
        </w:rPr>
      </w:pPr>
      <w:r w:rsidRPr="00524BED">
        <w:rPr>
          <w:rFonts w:ascii="Calibri" w:eastAsia="Calibri" w:hAnsi="Calibri" w:cs="Arial"/>
        </w:rPr>
        <w:t xml:space="preserve">Through the production </w:t>
      </w:r>
      <w:r w:rsidR="00B77686" w:rsidRPr="00B77686">
        <w:rPr>
          <w:rFonts w:ascii="Calibri" w:eastAsia="Calibri" w:hAnsi="Calibri" w:cs="Arial"/>
        </w:rPr>
        <w:t xml:space="preserve">of LAML’s annual SSAE18 report, audited by Deloitte, key operational risks and their controls are identified.  This exercise is repeated prior to each report and through discussions both internally and with the external auditor, the content of the report is agreed.  The annual review of its content ensures all new processes or procedures and captured and tested in a timely manner.  </w:t>
      </w:r>
      <w:r w:rsidR="00B77686" w:rsidRPr="00B77686">
        <w:rPr>
          <w:rFonts w:ascii="Calibri" w:eastAsia="Calibri" w:hAnsi="Calibri" w:cs="Arial"/>
        </w:rPr>
        <w:lastRenderedPageBreak/>
        <w:t>The report describes each key control and related control objective which are examined by the external audit firm and tested for effectiveness.  The final report is made available to both existing and potential new clients of LAML (with appropriate disclaimers).</w:t>
      </w:r>
    </w:p>
    <w:p w14:paraId="3D013F98" w14:textId="1A50194D" w:rsidR="00524BED" w:rsidRPr="00524BED" w:rsidRDefault="00B77686" w:rsidP="00E74F4B">
      <w:pPr>
        <w:spacing w:line="240" w:lineRule="auto"/>
        <w:ind w:left="0"/>
        <w:rPr>
          <w:rFonts w:ascii="Calibri" w:eastAsia="Calibri" w:hAnsi="Calibri" w:cs="Arial"/>
        </w:rPr>
      </w:pPr>
      <w:r w:rsidRPr="00B77686">
        <w:rPr>
          <w:rFonts w:ascii="Calibri" w:eastAsia="Calibri" w:hAnsi="Calibri" w:cs="Arial"/>
        </w:rPr>
        <w:t xml:space="preserve">Lazard Internal Audit periodically undertakes an independent risk and control assessment to assist management and the Audit Committee in fulfilling their oversight and fiduciary responsibilities. A risk-based approach is taken to determine the audit cycle. Each LAML and LFM business unit is assessed for inherent and control risk. The output from these reviews is presented by Internal Audit to senior management including members of </w:t>
      </w:r>
      <w:proofErr w:type="gramStart"/>
      <w:r w:rsidRPr="00B77686">
        <w:rPr>
          <w:rFonts w:ascii="Calibri" w:eastAsia="Calibri" w:hAnsi="Calibri" w:cs="Arial"/>
        </w:rPr>
        <w:t>the  LAML</w:t>
      </w:r>
      <w:proofErr w:type="gramEnd"/>
      <w:r w:rsidRPr="00B77686">
        <w:rPr>
          <w:rFonts w:ascii="Calibri" w:eastAsia="Calibri" w:hAnsi="Calibri" w:cs="Arial"/>
        </w:rPr>
        <w:t xml:space="preserve"> and LFM Boards (as appropriate</w:t>
      </w:r>
      <w:r>
        <w:rPr>
          <w:rFonts w:ascii="Calibri" w:eastAsia="Calibri" w:hAnsi="Calibri" w:cs="Arial"/>
        </w:rPr>
        <w:t>)</w:t>
      </w:r>
      <w:r w:rsidR="00524BED" w:rsidRPr="00524BED">
        <w:rPr>
          <w:rFonts w:ascii="Calibri" w:eastAsia="Calibri" w:hAnsi="Calibri" w:cs="Arial"/>
        </w:rPr>
        <w:t>.</w:t>
      </w:r>
    </w:p>
    <w:p w14:paraId="1AAF9FFF" w14:textId="1D167F29" w:rsidR="003738F7" w:rsidRPr="004C7F92" w:rsidRDefault="004B7570" w:rsidP="004C7F92">
      <w:pPr>
        <w:pStyle w:val="Heading2"/>
        <w:numPr>
          <w:ilvl w:val="2"/>
          <w:numId w:val="2"/>
        </w:numPr>
        <w:spacing w:after="100" w:afterAutospacing="1"/>
        <w:rPr>
          <w:rFonts w:asciiTheme="minorHAnsi" w:hAnsiTheme="minorHAnsi" w:cstheme="minorBidi"/>
        </w:rPr>
      </w:pPr>
      <w:bookmarkStart w:id="30" w:name="_Toc853009209"/>
      <w:bookmarkStart w:id="31" w:name="_Toc139016566"/>
      <w:r w:rsidRPr="3498C462">
        <w:rPr>
          <w:rFonts w:asciiTheme="minorHAnsi" w:hAnsiTheme="minorHAnsi" w:cstheme="minorBidi"/>
        </w:rPr>
        <w:t xml:space="preserve">Information Technology </w:t>
      </w:r>
      <w:r w:rsidR="00AB157D" w:rsidRPr="3498C462">
        <w:rPr>
          <w:rFonts w:asciiTheme="minorHAnsi" w:hAnsiTheme="minorHAnsi" w:cstheme="minorBidi"/>
        </w:rPr>
        <w:t xml:space="preserve">/ </w:t>
      </w:r>
      <w:r w:rsidR="003139F9" w:rsidRPr="3498C462">
        <w:rPr>
          <w:rFonts w:asciiTheme="minorHAnsi" w:hAnsiTheme="minorHAnsi" w:cstheme="minorBidi"/>
        </w:rPr>
        <w:t>Cyber Security R</w:t>
      </w:r>
      <w:r w:rsidR="00D50B72" w:rsidRPr="3498C462">
        <w:rPr>
          <w:rFonts w:asciiTheme="minorHAnsi" w:hAnsiTheme="minorHAnsi" w:cstheme="minorBidi"/>
        </w:rPr>
        <w:t>i</w:t>
      </w:r>
      <w:r w:rsidR="003139F9" w:rsidRPr="3498C462">
        <w:rPr>
          <w:rFonts w:asciiTheme="minorHAnsi" w:hAnsiTheme="minorHAnsi" w:cstheme="minorBidi"/>
        </w:rPr>
        <w:t>sk</w:t>
      </w:r>
      <w:bookmarkEnd w:id="30"/>
      <w:bookmarkEnd w:id="31"/>
    </w:p>
    <w:p w14:paraId="4A9E535E" w14:textId="77777777" w:rsidR="00B77686" w:rsidRPr="00B77686" w:rsidRDefault="003738F7" w:rsidP="00B77686">
      <w:pPr>
        <w:spacing w:line="240" w:lineRule="auto"/>
        <w:ind w:left="0"/>
        <w:rPr>
          <w:rFonts w:ascii="Calibri" w:eastAsia="Calibri" w:hAnsi="Calibri" w:cs="Arial"/>
        </w:rPr>
      </w:pPr>
      <w:r w:rsidRPr="003738F7">
        <w:rPr>
          <w:rFonts w:ascii="Calibri" w:eastAsia="Calibri" w:hAnsi="Calibri" w:cs="Arial"/>
        </w:rPr>
        <w:t xml:space="preserve">Information technology </w:t>
      </w:r>
      <w:r w:rsidR="00B77686" w:rsidRPr="00B77686">
        <w:rPr>
          <w:rFonts w:ascii="Calibri" w:eastAsia="Calibri" w:hAnsi="Calibri" w:cs="Arial"/>
        </w:rPr>
        <w:t xml:space="preserve">risk is the risk that IT hardware or software failure or function could adversely impact the Group. Cybersecurity risk is one such risk, and can be described as the probability of exposure, loss of critical assets and sensitive information, or reputational harm </w:t>
      </w:r>
      <w:proofErr w:type="gramStart"/>
      <w:r w:rsidR="00B77686" w:rsidRPr="00B77686">
        <w:rPr>
          <w:rFonts w:ascii="Calibri" w:eastAsia="Calibri" w:hAnsi="Calibri" w:cs="Arial"/>
        </w:rPr>
        <w:t>as a result of</w:t>
      </w:r>
      <w:proofErr w:type="gramEnd"/>
      <w:r w:rsidR="00B77686" w:rsidRPr="00B77686">
        <w:rPr>
          <w:rFonts w:ascii="Calibri" w:eastAsia="Calibri" w:hAnsi="Calibri" w:cs="Arial"/>
        </w:rPr>
        <w:t xml:space="preserve"> a cyber-attack or breach within an organization’s network. A few examples of cybersecurity risks include ransomware, malware, insider threats, phishing attacks, poor compliance management, and more. </w:t>
      </w:r>
    </w:p>
    <w:p w14:paraId="36F12094" w14:textId="77777777" w:rsidR="00B77686" w:rsidRPr="00B77686" w:rsidRDefault="00B77686" w:rsidP="00B77686">
      <w:pPr>
        <w:spacing w:line="240" w:lineRule="auto"/>
        <w:ind w:left="0"/>
        <w:rPr>
          <w:rFonts w:ascii="Calibri" w:eastAsia="Calibri" w:hAnsi="Calibri" w:cs="Arial"/>
        </w:rPr>
      </w:pPr>
      <w:r w:rsidRPr="00B77686">
        <w:rPr>
          <w:rFonts w:ascii="Calibri" w:eastAsia="Calibri" w:hAnsi="Calibri" w:cs="Arial"/>
        </w:rPr>
        <w:t>The IT infrastructure plays an important role in the day to day running of the Group. As well as ensuring a business continuity plan is in place, the Group has implemented a cybersecurity risk management strategy to protect the Group against constantly advancing and evolving cyber threats. Risk reviews produce an ever-changing list of threats which consistently include phishing/ Business Email Compromise BEC (e.g., fraudulent email), 3rd Party risk, and Nation State Actors/APT (e.g., advanced operations to establish a foothold into infrastructure). To address these and other risks, Lazard has security controls in place including Edge routers with enhanced packet filtering, carrier-based detection, and prevention of DDOS attacks, Firewalls, Intrusion detection and prevention devices, advanced host and network-based malware protection, host and server based APT detection and prevention, inline email encryption, spam filtering, and antivirus, as well as content filtering web proxies. These technologies are monitored and include input from threat intelligence feeds from commercial vendors and industry groups such as the FS-ISAC.</w:t>
      </w:r>
    </w:p>
    <w:p w14:paraId="5B7BA907" w14:textId="77777777" w:rsidR="00B77686" w:rsidRPr="00B77686" w:rsidRDefault="00B77686" w:rsidP="00B77686">
      <w:pPr>
        <w:spacing w:line="240" w:lineRule="auto"/>
        <w:ind w:left="0"/>
        <w:rPr>
          <w:rFonts w:ascii="Calibri" w:eastAsia="Calibri" w:hAnsi="Calibri" w:cs="Arial"/>
        </w:rPr>
      </w:pPr>
      <w:r w:rsidRPr="00B77686">
        <w:rPr>
          <w:rFonts w:ascii="Calibri" w:eastAsia="Calibri" w:hAnsi="Calibri" w:cs="Arial"/>
        </w:rPr>
        <w:t xml:space="preserve">The Group has a complete set of Cyber Security Policies governing all aspects of Information Security including a robust Cyber Security Incident Response Plan. These policies are reviewed and tested annually by both the IS and IT teams. Lazard’s Corporate Information Security team also conducts regular risk assessments to identify cybersecurity threats, vulnerabilities, and potential business consequences. </w:t>
      </w:r>
    </w:p>
    <w:p w14:paraId="32105486" w14:textId="77777777" w:rsidR="00B77686" w:rsidRPr="00B77686" w:rsidRDefault="00B77686" w:rsidP="00B77686">
      <w:pPr>
        <w:spacing w:line="240" w:lineRule="auto"/>
        <w:ind w:left="0"/>
        <w:rPr>
          <w:rFonts w:ascii="Calibri" w:eastAsia="Calibri" w:hAnsi="Calibri" w:cs="Arial"/>
        </w:rPr>
      </w:pPr>
      <w:r w:rsidRPr="00B77686">
        <w:rPr>
          <w:rFonts w:ascii="Calibri" w:eastAsia="Calibri" w:hAnsi="Calibri" w:cs="Arial"/>
        </w:rPr>
        <w:t xml:space="preserve">The Group has a structured methodology to manage the installation of patches, hot fixes, and service packs.  Additionally, the Group has a comprehensive vulnerability management program that ensures all hosts are updated and or patched on a timely basis if vulnerabilities or misconfigurations are discovered. Furthermore, continuous in-house vulnerability testing of all internal and external networked devices are conducted. </w:t>
      </w:r>
    </w:p>
    <w:p w14:paraId="4C6CF6D9" w14:textId="3787707F" w:rsidR="003738F7" w:rsidRPr="003738F7" w:rsidRDefault="00B77686" w:rsidP="00B77686">
      <w:pPr>
        <w:spacing w:line="240" w:lineRule="auto"/>
        <w:ind w:left="0"/>
      </w:pPr>
      <w:r w:rsidRPr="00B77686">
        <w:rPr>
          <w:rFonts w:ascii="Calibri" w:eastAsia="Calibri" w:hAnsi="Calibri" w:cs="Arial"/>
        </w:rPr>
        <w:t>LAML Group also considers cyber security when completing due diligence visits of State Street, as well as other important outsourced service providers</w:t>
      </w:r>
      <w:r w:rsidR="003738F7" w:rsidRPr="003738F7">
        <w:rPr>
          <w:rFonts w:ascii="Calibri" w:eastAsia="Calibri" w:hAnsi="Calibri" w:cs="Arial"/>
        </w:rPr>
        <w:t>.</w:t>
      </w:r>
    </w:p>
    <w:p w14:paraId="03AEFF86" w14:textId="43866038" w:rsidR="00776363" w:rsidRPr="00540C11" w:rsidRDefault="004F381B">
      <w:pPr>
        <w:pStyle w:val="Heading1"/>
        <w:numPr>
          <w:ilvl w:val="0"/>
          <w:numId w:val="2"/>
        </w:numPr>
        <w:spacing w:line="276" w:lineRule="auto"/>
        <w:rPr>
          <w:rFonts w:asciiTheme="minorHAnsi" w:hAnsiTheme="minorHAnsi" w:cstheme="minorBidi"/>
        </w:rPr>
      </w:pPr>
      <w:bookmarkStart w:id="32" w:name="_Toc139016567"/>
      <w:r w:rsidRPr="00540C11">
        <w:rPr>
          <w:rFonts w:asciiTheme="minorHAnsi" w:hAnsiTheme="minorHAnsi" w:cstheme="minorBidi"/>
        </w:rPr>
        <w:lastRenderedPageBreak/>
        <w:t>Governance Arrangements</w:t>
      </w:r>
      <w:bookmarkEnd w:id="32"/>
      <w:r w:rsidR="00776363" w:rsidRPr="00540C11">
        <w:rPr>
          <w:rFonts w:asciiTheme="minorHAnsi" w:hAnsiTheme="minorHAnsi" w:cstheme="minorBidi"/>
        </w:rPr>
        <w:t xml:space="preserve"> </w:t>
      </w:r>
    </w:p>
    <w:p w14:paraId="5688B57D" w14:textId="77777777" w:rsidR="004F381B" w:rsidRDefault="004F381B" w:rsidP="00776363">
      <w:pPr>
        <w:ind w:left="0"/>
        <w:rPr>
          <w:rFonts w:cstheme="minorHAnsi"/>
        </w:rPr>
      </w:pPr>
      <w:r w:rsidRPr="004F381B">
        <w:rPr>
          <w:rFonts w:cstheme="minorHAnsi"/>
        </w:rPr>
        <w:t>The Group’s systems of risk management and internal control include risk assessment processes, and risk management and mitigation through control processes, information and communication systems, and processes for monitoring and reviewing of control effectiveness</w:t>
      </w:r>
      <w:r>
        <w:rPr>
          <w:rFonts w:cstheme="minorHAnsi"/>
        </w:rPr>
        <w:t xml:space="preserve">. </w:t>
      </w:r>
    </w:p>
    <w:p w14:paraId="2B1A65A2" w14:textId="5EA3F913" w:rsidR="00776363" w:rsidRPr="00496FC6" w:rsidRDefault="00776363" w:rsidP="00776363">
      <w:pPr>
        <w:ind w:left="0"/>
        <w:rPr>
          <w:rFonts w:cstheme="minorHAnsi"/>
        </w:rPr>
      </w:pPr>
      <w:r w:rsidRPr="00496FC6">
        <w:rPr>
          <w:rFonts w:cstheme="minorHAnsi"/>
        </w:rPr>
        <w:t xml:space="preserve">The risk management and internal control systems are embedded in the operations of the </w:t>
      </w:r>
      <w:r w:rsidR="00460296">
        <w:rPr>
          <w:rFonts w:cstheme="minorHAnsi"/>
        </w:rPr>
        <w:t>Group</w:t>
      </w:r>
      <w:r w:rsidRPr="00496FC6">
        <w:rPr>
          <w:rFonts w:cstheme="minorHAnsi"/>
        </w:rPr>
        <w:t xml:space="preserve"> and </w:t>
      </w:r>
      <w:proofErr w:type="gramStart"/>
      <w:r w:rsidRPr="00496FC6">
        <w:rPr>
          <w:rFonts w:cstheme="minorHAnsi"/>
        </w:rPr>
        <w:t>are capable of responding</w:t>
      </w:r>
      <w:proofErr w:type="gramEnd"/>
      <w:r w:rsidRPr="00496FC6">
        <w:rPr>
          <w:rFonts w:cstheme="minorHAnsi"/>
        </w:rPr>
        <w:t xml:space="preserve"> </w:t>
      </w:r>
      <w:r w:rsidR="00794365">
        <w:rPr>
          <w:rFonts w:cstheme="minorHAnsi"/>
        </w:rPr>
        <w:t>appropriately</w:t>
      </w:r>
      <w:r w:rsidRPr="00496FC6">
        <w:rPr>
          <w:rFonts w:cstheme="minorHAnsi"/>
        </w:rPr>
        <w:t xml:space="preserve"> to evolving business risks, whether they arise from factors within the </w:t>
      </w:r>
      <w:r w:rsidR="000760D7">
        <w:rPr>
          <w:rFonts w:cstheme="minorHAnsi"/>
        </w:rPr>
        <w:t>Group</w:t>
      </w:r>
      <w:r w:rsidRPr="00496FC6">
        <w:rPr>
          <w:rFonts w:cstheme="minorHAnsi"/>
        </w:rPr>
        <w:t xml:space="preserve"> or from changes in the business environment.</w:t>
      </w:r>
    </w:p>
    <w:p w14:paraId="2F2397EA" w14:textId="34EE7D2F" w:rsidR="00775B6D" w:rsidRPr="00496FC6" w:rsidRDefault="00775B6D">
      <w:pPr>
        <w:pStyle w:val="Heading2"/>
        <w:numPr>
          <w:ilvl w:val="1"/>
          <w:numId w:val="2"/>
        </w:numPr>
        <w:rPr>
          <w:rFonts w:asciiTheme="minorHAnsi" w:hAnsiTheme="minorHAnsi" w:cstheme="minorBidi"/>
        </w:rPr>
      </w:pPr>
      <w:bookmarkStart w:id="33" w:name="_Toc1861541341"/>
      <w:bookmarkStart w:id="34" w:name="_Toc139016568"/>
      <w:r w:rsidRPr="3498C462">
        <w:rPr>
          <w:rFonts w:asciiTheme="minorHAnsi" w:hAnsiTheme="minorHAnsi" w:cstheme="minorBidi"/>
        </w:rPr>
        <w:t>Organisational Structure</w:t>
      </w:r>
      <w:bookmarkEnd w:id="33"/>
      <w:bookmarkEnd w:id="34"/>
    </w:p>
    <w:p w14:paraId="6186D971" w14:textId="5C8C96B8" w:rsidR="00776363" w:rsidRDefault="00775B6D" w:rsidP="00776363">
      <w:pPr>
        <w:ind w:left="0"/>
      </w:pPr>
      <w:r>
        <w:br/>
      </w:r>
      <w:r w:rsidR="00776363" w:rsidRPr="3498C462">
        <w:t xml:space="preserve">The </w:t>
      </w:r>
      <w:r w:rsidR="000760D7">
        <w:t>Group</w:t>
      </w:r>
      <w:r w:rsidR="00776363" w:rsidRPr="3498C462">
        <w:t xml:space="preserve">’s </w:t>
      </w:r>
      <w:r w:rsidR="00407571" w:rsidRPr="3498C462">
        <w:t>governance</w:t>
      </w:r>
      <w:r w:rsidR="00776363" w:rsidRPr="3498C462">
        <w:t xml:space="preserve"> structure is as follows:</w:t>
      </w:r>
    </w:p>
    <w:p w14:paraId="03B7A588" w14:textId="187EF4F3" w:rsidR="00D5563C" w:rsidRDefault="00D5563C" w:rsidP="00776363">
      <w:pPr>
        <w:ind w:left="0"/>
        <w:rPr>
          <w:noProof/>
        </w:rPr>
      </w:pPr>
      <w:r>
        <w:rPr>
          <w:noProof/>
        </w:rPr>
        <mc:AlternateContent>
          <mc:Choice Requires="wpg">
            <w:drawing>
              <wp:anchor distT="0" distB="0" distL="114300" distR="114300" simplePos="0" relativeHeight="251658240" behindDoc="0" locked="0" layoutInCell="1" allowOverlap="1" wp14:anchorId="3A8A3FA0" wp14:editId="55561A3B">
                <wp:simplePos x="0" y="0"/>
                <wp:positionH relativeFrom="margin">
                  <wp:posOffset>-114300</wp:posOffset>
                </wp:positionH>
                <wp:positionV relativeFrom="paragraph">
                  <wp:posOffset>10160</wp:posOffset>
                </wp:positionV>
                <wp:extent cx="6638925" cy="3833653"/>
                <wp:effectExtent l="0" t="0" r="9525" b="0"/>
                <wp:wrapNone/>
                <wp:docPr id="1935284121" name="Group 7"/>
                <wp:cNvGraphicFramePr/>
                <a:graphic xmlns:a="http://schemas.openxmlformats.org/drawingml/2006/main">
                  <a:graphicData uri="http://schemas.microsoft.com/office/word/2010/wordprocessingGroup">
                    <wpg:wgp>
                      <wpg:cNvGrpSpPr/>
                      <wpg:grpSpPr>
                        <a:xfrm>
                          <a:off x="0" y="0"/>
                          <a:ext cx="6638925" cy="3833653"/>
                          <a:chOff x="0" y="0"/>
                          <a:chExt cx="11933619" cy="4696045"/>
                        </a:xfrm>
                      </wpg:grpSpPr>
                      <wps:wsp>
                        <wps:cNvPr id="1935284122" name="Rectangle 1935284122"/>
                        <wps:cNvSpPr/>
                        <wps:spPr>
                          <a:xfrm>
                            <a:off x="0" y="1868458"/>
                            <a:ext cx="1791532" cy="885114"/>
                          </a:xfrm>
                          <a:prstGeom prst="rect">
                            <a:avLst/>
                          </a:prstGeom>
                          <a:solidFill>
                            <a:srgbClr val="5F87A0"/>
                          </a:solidFill>
                          <a:ln w="12700" cap="flat" cmpd="sng" algn="ctr">
                            <a:noFill/>
                            <a:prstDash val="solid"/>
                            <a:miter lim="800000"/>
                          </a:ln>
                          <a:effectLst/>
                        </wps:spPr>
                        <wps:txbx>
                          <w:txbxContent>
                            <w:p w14:paraId="4B27A0D6" w14:textId="77777777" w:rsidR="0067677F" w:rsidRPr="002B5D99" w:rsidRDefault="0067677F"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London Operational Risk Committee (LORC)</w:t>
                              </w:r>
                            </w:p>
                          </w:txbxContent>
                        </wps:txbx>
                        <wps:bodyPr rtlCol="0" anchor="t"/>
                      </wps:wsp>
                      <wps:wsp>
                        <wps:cNvPr id="1935284123" name="Rectangle 1935284123"/>
                        <wps:cNvSpPr/>
                        <wps:spPr>
                          <a:xfrm>
                            <a:off x="2028418" y="1868458"/>
                            <a:ext cx="1791532" cy="885114"/>
                          </a:xfrm>
                          <a:prstGeom prst="rect">
                            <a:avLst/>
                          </a:prstGeom>
                          <a:solidFill>
                            <a:srgbClr val="5F87A0"/>
                          </a:solidFill>
                          <a:ln w="12700" cap="flat" cmpd="sng" algn="ctr">
                            <a:noFill/>
                            <a:prstDash val="solid"/>
                            <a:miter lim="800000"/>
                          </a:ln>
                          <a:effectLst/>
                        </wps:spPr>
                        <wps:txbx>
                          <w:txbxContent>
                            <w:p w14:paraId="4A5216D2" w14:textId="27321E1F" w:rsidR="0067677F" w:rsidRPr="002B5D99" w:rsidRDefault="00D5563C"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 xml:space="preserve">London </w:t>
                              </w:r>
                              <w:r w:rsidR="0067677F" w:rsidRPr="002B5D99">
                                <w:rPr>
                                  <w:rFonts w:ascii="Calibri" w:eastAsia="Calibri" w:hAnsi="Calibri" w:cs="Arial"/>
                                  <w:b/>
                                  <w:bCs/>
                                  <w:color w:val="FFFFFF"/>
                                  <w:kern w:val="24"/>
                                  <w:sz w:val="16"/>
                                  <w:szCs w:val="16"/>
                                </w:rPr>
                                <w:t>Outsourcing</w:t>
                              </w:r>
                              <w:r w:rsidR="00AE3B29" w:rsidRPr="002B5D99">
                                <w:rPr>
                                  <w:rFonts w:ascii="Calibri" w:eastAsia="Calibri" w:hAnsi="Calibri" w:cs="Arial"/>
                                  <w:b/>
                                  <w:bCs/>
                                  <w:color w:val="FFFFFF"/>
                                  <w:kern w:val="24"/>
                                  <w:sz w:val="16"/>
                                  <w:szCs w:val="16"/>
                                </w:rPr>
                                <w:t xml:space="preserve"> </w:t>
                              </w:r>
                              <w:r w:rsidR="0067677F" w:rsidRPr="002B5D99">
                                <w:rPr>
                                  <w:rFonts w:ascii="Calibri" w:eastAsia="Calibri" w:hAnsi="Calibri" w:cs="Arial"/>
                                  <w:b/>
                                  <w:bCs/>
                                  <w:color w:val="FFFFFF"/>
                                  <w:kern w:val="24"/>
                                  <w:sz w:val="16"/>
                                  <w:szCs w:val="16"/>
                                </w:rPr>
                                <w:t>Steering Committee (LOSC)</w:t>
                              </w:r>
                            </w:p>
                          </w:txbxContent>
                        </wps:txbx>
                        <wps:bodyPr rtlCol="0" anchor="t"/>
                      </wps:wsp>
                      <wps:wsp>
                        <wps:cNvPr id="1935284124" name="Rectangle 1935284124"/>
                        <wps:cNvSpPr/>
                        <wps:spPr>
                          <a:xfrm>
                            <a:off x="4056836" y="1868458"/>
                            <a:ext cx="1791532" cy="885114"/>
                          </a:xfrm>
                          <a:prstGeom prst="rect">
                            <a:avLst/>
                          </a:prstGeom>
                          <a:solidFill>
                            <a:srgbClr val="5F87A0"/>
                          </a:solidFill>
                          <a:ln w="12700" cap="flat" cmpd="sng" algn="ctr">
                            <a:noFill/>
                            <a:prstDash val="solid"/>
                            <a:miter lim="800000"/>
                          </a:ln>
                          <a:effectLst/>
                        </wps:spPr>
                        <wps:txbx>
                          <w:txbxContent>
                            <w:p w14:paraId="4A425167" w14:textId="77777777" w:rsidR="0067677F" w:rsidRPr="002B5D99" w:rsidRDefault="0067677F"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London Operating Committee (LOC)</w:t>
                              </w:r>
                            </w:p>
                          </w:txbxContent>
                        </wps:txbx>
                        <wps:bodyPr rtlCol="0" anchor="t"/>
                      </wps:wsp>
                      <wps:wsp>
                        <wps:cNvPr id="1935284125" name="Rectangle 1935284125"/>
                        <wps:cNvSpPr/>
                        <wps:spPr>
                          <a:xfrm>
                            <a:off x="6085255" y="1868458"/>
                            <a:ext cx="1791532" cy="885114"/>
                          </a:xfrm>
                          <a:prstGeom prst="rect">
                            <a:avLst/>
                          </a:prstGeom>
                          <a:solidFill>
                            <a:srgbClr val="5F87A0"/>
                          </a:solidFill>
                          <a:ln w="12700" cap="flat" cmpd="sng" algn="ctr">
                            <a:noFill/>
                            <a:prstDash val="solid"/>
                            <a:miter lim="800000"/>
                          </a:ln>
                          <a:effectLst/>
                        </wps:spPr>
                        <wps:txbx>
                          <w:txbxContent>
                            <w:p w14:paraId="6D39B176" w14:textId="659C6024" w:rsidR="0067677F" w:rsidRPr="002B5D99" w:rsidRDefault="00B445E0"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 xml:space="preserve">The Brokerage </w:t>
                              </w:r>
                              <w:r w:rsidR="00797FBE" w:rsidRPr="002B5D99">
                                <w:rPr>
                                  <w:rFonts w:ascii="Calibri" w:eastAsia="Calibri" w:hAnsi="Calibri" w:cs="Arial"/>
                                  <w:b/>
                                  <w:bCs/>
                                  <w:color w:val="FFFFFF"/>
                                  <w:kern w:val="24"/>
                                  <w:sz w:val="16"/>
                                  <w:szCs w:val="16"/>
                                </w:rPr>
                                <w:t>Committee</w:t>
                              </w:r>
                            </w:p>
                          </w:txbxContent>
                        </wps:txbx>
                        <wps:bodyPr rtlCol="0" anchor="t"/>
                      </wps:wsp>
                      <wps:wsp>
                        <wps:cNvPr id="1935284126" name="Rectangle 1935284126"/>
                        <wps:cNvSpPr/>
                        <wps:spPr>
                          <a:xfrm>
                            <a:off x="208763" y="960393"/>
                            <a:ext cx="11269692" cy="703488"/>
                          </a:xfrm>
                          <a:prstGeom prst="rect">
                            <a:avLst/>
                          </a:prstGeom>
                          <a:solidFill>
                            <a:srgbClr val="5F9E43">
                              <a:lumMod val="40000"/>
                              <a:lumOff val="60000"/>
                            </a:srgbClr>
                          </a:solidFill>
                          <a:ln w="12700" cap="flat" cmpd="sng" algn="ctr">
                            <a:solidFill>
                              <a:srgbClr val="5F9E43">
                                <a:lumMod val="50000"/>
                              </a:srgbClr>
                            </a:solidFill>
                            <a:prstDash val="dash"/>
                            <a:miter lim="800000"/>
                          </a:ln>
                          <a:effectLst/>
                        </wps:spPr>
                        <wps:txbx>
                          <w:txbxContent>
                            <w:p w14:paraId="5959DBED" w14:textId="77777777" w:rsidR="0067677F" w:rsidRDefault="0067677F" w:rsidP="0067677F">
                              <w:pPr>
                                <w:jc w:val="center"/>
                                <w:rPr>
                                  <w:rFonts w:ascii="Calibri" w:eastAsia="Calibri" w:hAnsi="Calibri" w:cs="Arial"/>
                                  <w:color w:val="1F4E79"/>
                                  <w:kern w:val="24"/>
                                </w:rPr>
                              </w:pPr>
                              <w:r>
                                <w:rPr>
                                  <w:rFonts w:ascii="Calibri" w:eastAsia="Calibri" w:hAnsi="Calibri" w:cs="Arial"/>
                                  <w:color w:val="1F4E79"/>
                                  <w:kern w:val="24"/>
                                </w:rPr>
                                <w:t>LAML Board and LFM Board (BoD)</w:t>
                              </w:r>
                            </w:p>
                          </w:txbxContent>
                        </wps:txbx>
                        <wps:bodyPr rtlCol="0" anchor="ctr"/>
                      </wps:wsp>
                      <wps:wsp>
                        <wps:cNvPr id="1935284127" name="Rectangle 1935284127"/>
                        <wps:cNvSpPr/>
                        <wps:spPr>
                          <a:xfrm>
                            <a:off x="208765" y="0"/>
                            <a:ext cx="11269692" cy="774787"/>
                          </a:xfrm>
                          <a:prstGeom prst="rect">
                            <a:avLst/>
                          </a:prstGeom>
                          <a:solidFill>
                            <a:srgbClr val="428DCB">
                              <a:lumMod val="20000"/>
                              <a:lumOff val="80000"/>
                            </a:srgbClr>
                          </a:solidFill>
                          <a:ln w="12700" cap="flat" cmpd="sng" algn="ctr">
                            <a:solidFill>
                              <a:srgbClr val="5F9E43">
                                <a:lumMod val="50000"/>
                              </a:srgbClr>
                            </a:solidFill>
                            <a:prstDash val="dash"/>
                            <a:miter lim="800000"/>
                          </a:ln>
                          <a:effectLst/>
                        </wps:spPr>
                        <wps:txbx>
                          <w:txbxContent>
                            <w:p w14:paraId="6756E7D7" w14:textId="77777777" w:rsidR="0067677F" w:rsidRDefault="0067677F" w:rsidP="0067677F">
                              <w:pPr>
                                <w:jc w:val="center"/>
                                <w:rPr>
                                  <w:rFonts w:ascii="Calibri" w:eastAsia="Calibri" w:hAnsi="Calibri" w:cs="Arial"/>
                                  <w:color w:val="1F4E79"/>
                                  <w:kern w:val="24"/>
                                </w:rPr>
                              </w:pPr>
                              <w:r>
                                <w:rPr>
                                  <w:rFonts w:ascii="Calibri" w:eastAsia="Calibri" w:hAnsi="Calibri" w:cs="Arial"/>
                                  <w:color w:val="1F4E79"/>
                                  <w:kern w:val="24"/>
                                </w:rPr>
                                <w:t>Global Executive Committee (GEC)</w:t>
                              </w:r>
                            </w:p>
                            <w:p w14:paraId="0C090DA8" w14:textId="77777777" w:rsidR="0067677F" w:rsidRDefault="0067677F" w:rsidP="0067677F">
                              <w:pPr>
                                <w:jc w:val="center"/>
                                <w:rPr>
                                  <w:rFonts w:ascii="Calibri" w:eastAsia="Calibri" w:hAnsi="Calibri" w:cs="Arial"/>
                                  <w:color w:val="1F4E79"/>
                                  <w:kern w:val="24"/>
                                </w:rPr>
                              </w:pPr>
                              <w:r>
                                <w:rPr>
                                  <w:rFonts w:ascii="Calibri" w:eastAsia="Calibri" w:hAnsi="Calibri" w:cs="Arial"/>
                                  <w:color w:val="1F4E79"/>
                                  <w:kern w:val="24"/>
                                </w:rPr>
                                <w:t>Global CEO and Country Heads</w:t>
                              </w:r>
                            </w:p>
                          </w:txbxContent>
                        </wps:txbx>
                        <wps:bodyPr rtlCol="0" anchor="ctr"/>
                      </wps:wsp>
                      <wps:wsp>
                        <wps:cNvPr id="1935284128" name="Rectangle 1935284128"/>
                        <wps:cNvSpPr/>
                        <wps:spPr>
                          <a:xfrm>
                            <a:off x="8113673" y="1868458"/>
                            <a:ext cx="1791532" cy="885114"/>
                          </a:xfrm>
                          <a:prstGeom prst="rect">
                            <a:avLst/>
                          </a:prstGeom>
                          <a:solidFill>
                            <a:srgbClr val="5F87A0"/>
                          </a:solidFill>
                          <a:ln w="12700" cap="flat" cmpd="sng" algn="ctr">
                            <a:noFill/>
                            <a:prstDash val="solid"/>
                            <a:miter lim="800000"/>
                          </a:ln>
                          <a:effectLst/>
                        </wps:spPr>
                        <wps:txbx>
                          <w:txbxContent>
                            <w:p w14:paraId="525DA4BF" w14:textId="36776829" w:rsidR="0067677F" w:rsidRPr="002B5D99" w:rsidRDefault="0067677F"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 xml:space="preserve">The </w:t>
                              </w:r>
                              <w:r w:rsidR="009C0E16" w:rsidRPr="002B5D99">
                                <w:rPr>
                                  <w:rFonts w:ascii="Calibri" w:eastAsia="Calibri" w:hAnsi="Calibri" w:cs="Arial"/>
                                  <w:b/>
                                  <w:bCs/>
                                  <w:color w:val="FFFFFF"/>
                                  <w:kern w:val="24"/>
                                  <w:sz w:val="16"/>
                                  <w:szCs w:val="16"/>
                                </w:rPr>
                                <w:t xml:space="preserve">Counterparty Risk </w:t>
                              </w:r>
                              <w:r w:rsidR="00797FBE" w:rsidRPr="002B5D99">
                                <w:rPr>
                                  <w:rFonts w:ascii="Calibri" w:eastAsia="Calibri" w:hAnsi="Calibri" w:cs="Arial"/>
                                  <w:b/>
                                  <w:bCs/>
                                  <w:color w:val="FFFFFF"/>
                                  <w:kern w:val="24"/>
                                  <w:sz w:val="16"/>
                                  <w:szCs w:val="16"/>
                                </w:rPr>
                                <w:t>Committee</w:t>
                              </w:r>
                            </w:p>
                          </w:txbxContent>
                        </wps:txbx>
                        <wps:bodyPr rtlCol="0" anchor="t"/>
                      </wps:wsp>
                      <wps:wsp>
                        <wps:cNvPr id="1935284129" name="Rectangle 1935284129"/>
                        <wps:cNvSpPr/>
                        <wps:spPr>
                          <a:xfrm>
                            <a:off x="10142087" y="1868458"/>
                            <a:ext cx="1791532" cy="885114"/>
                          </a:xfrm>
                          <a:prstGeom prst="rect">
                            <a:avLst/>
                          </a:prstGeom>
                          <a:solidFill>
                            <a:srgbClr val="5F87A0"/>
                          </a:solidFill>
                          <a:ln w="12700" cap="flat" cmpd="sng" algn="ctr">
                            <a:noFill/>
                            <a:prstDash val="solid"/>
                            <a:miter lim="800000"/>
                          </a:ln>
                          <a:effectLst/>
                        </wps:spPr>
                        <wps:txbx>
                          <w:txbxContent>
                            <w:p w14:paraId="6D860E7F" w14:textId="1E5FA4E2" w:rsidR="0067677F"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Compensation</w:t>
                              </w:r>
                              <w:r w:rsidR="00CB556D" w:rsidRPr="002B5D99">
                                <w:rPr>
                                  <w:rFonts w:ascii="Calibri" w:eastAsia="Calibri" w:hAnsi="Calibri" w:cs="Arial"/>
                                  <w:b/>
                                  <w:bCs/>
                                  <w:color w:val="FFFFFF"/>
                                  <w:kern w:val="24"/>
                                  <w:sz w:val="16"/>
                                  <w:szCs w:val="16"/>
                                </w:rPr>
                                <w:t xml:space="preserve"> Committee</w:t>
                              </w:r>
                            </w:p>
                          </w:txbxContent>
                        </wps:txbx>
                        <wps:bodyPr rtlCol="0" anchor="t"/>
                      </wps:wsp>
                      <wps:wsp>
                        <wps:cNvPr id="1935284130" name="Rectangle 1935284130"/>
                        <wps:cNvSpPr/>
                        <wps:spPr>
                          <a:xfrm>
                            <a:off x="6085255" y="2839657"/>
                            <a:ext cx="1791532" cy="885114"/>
                          </a:xfrm>
                          <a:prstGeom prst="rect">
                            <a:avLst/>
                          </a:prstGeom>
                          <a:solidFill>
                            <a:srgbClr val="5F87A0"/>
                          </a:solidFill>
                          <a:ln w="12700" cap="flat" cmpd="sng" algn="ctr">
                            <a:noFill/>
                            <a:prstDash val="solid"/>
                            <a:miter lim="800000"/>
                          </a:ln>
                          <a:effectLst/>
                        </wps:spPr>
                        <wps:txbx>
                          <w:txbxContent>
                            <w:p w14:paraId="4AE7198B" w14:textId="43D71CBA" w:rsidR="0067677F"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Product Governance Committee (PGC)</w:t>
                              </w:r>
                            </w:p>
                          </w:txbxContent>
                        </wps:txbx>
                        <wps:bodyPr rtlCol="0" anchor="t"/>
                      </wps:wsp>
                      <wps:wsp>
                        <wps:cNvPr id="1935284131" name="Rectangle 1935284131"/>
                        <wps:cNvSpPr/>
                        <wps:spPr>
                          <a:xfrm>
                            <a:off x="8113673" y="2839657"/>
                            <a:ext cx="1791532" cy="885114"/>
                          </a:xfrm>
                          <a:prstGeom prst="rect">
                            <a:avLst/>
                          </a:prstGeom>
                          <a:solidFill>
                            <a:srgbClr val="5F87A0"/>
                          </a:solidFill>
                          <a:ln w="12700" cap="flat" cmpd="sng" algn="ctr">
                            <a:noFill/>
                            <a:prstDash val="solid"/>
                            <a:miter lim="800000"/>
                          </a:ln>
                          <a:effectLst/>
                        </wps:spPr>
                        <wps:txbx>
                          <w:txbxContent>
                            <w:p w14:paraId="7E6300B1" w14:textId="77777777" w:rsidR="00797FBE"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 xml:space="preserve">Best Execution Committee </w:t>
                              </w:r>
                            </w:p>
                            <w:p w14:paraId="1ECBC9A2" w14:textId="6E2B9A1A" w:rsidR="0067677F" w:rsidRPr="002B5D99" w:rsidRDefault="0067677F" w:rsidP="00AE3B29">
                              <w:pPr>
                                <w:ind w:left="0"/>
                                <w:rPr>
                                  <w:rFonts w:ascii="Calibri" w:eastAsia="Calibri" w:hAnsi="Calibri" w:cs="Arial"/>
                                  <w:b/>
                                  <w:bCs/>
                                  <w:color w:val="FFFFFF"/>
                                  <w:kern w:val="24"/>
                                  <w:sz w:val="16"/>
                                  <w:szCs w:val="16"/>
                                </w:rPr>
                              </w:pPr>
                            </w:p>
                          </w:txbxContent>
                        </wps:txbx>
                        <wps:bodyPr rtlCol="0" anchor="t"/>
                      </wps:wsp>
                      <wps:wsp>
                        <wps:cNvPr id="1935284132" name="Rectangle 1935284132"/>
                        <wps:cNvSpPr/>
                        <wps:spPr>
                          <a:xfrm>
                            <a:off x="10142087" y="2839657"/>
                            <a:ext cx="1791532" cy="885114"/>
                          </a:xfrm>
                          <a:prstGeom prst="rect">
                            <a:avLst/>
                          </a:prstGeom>
                          <a:solidFill>
                            <a:srgbClr val="5F87A0"/>
                          </a:solidFill>
                          <a:ln w="12700" cap="flat" cmpd="sng" algn="ctr">
                            <a:noFill/>
                            <a:prstDash val="solid"/>
                            <a:miter lim="800000"/>
                          </a:ln>
                          <a:effectLst/>
                        </wps:spPr>
                        <wps:txbx>
                          <w:txbxContent>
                            <w:p w14:paraId="719BADBF" w14:textId="77777777" w:rsidR="00797FBE"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LAML Remuneration Committee</w:t>
                              </w:r>
                            </w:p>
                            <w:p w14:paraId="0B03010E" w14:textId="6449BEED" w:rsidR="0067677F" w:rsidRPr="002B5D99" w:rsidRDefault="0067677F" w:rsidP="00AE3B29">
                              <w:pPr>
                                <w:ind w:left="0"/>
                                <w:rPr>
                                  <w:rFonts w:ascii="Calibri" w:eastAsia="Calibri" w:hAnsi="Calibri" w:cs="Arial"/>
                                  <w:b/>
                                  <w:bCs/>
                                  <w:color w:val="FFFFFF"/>
                                  <w:kern w:val="24"/>
                                  <w:sz w:val="16"/>
                                  <w:szCs w:val="16"/>
                                </w:rPr>
                              </w:pPr>
                            </w:p>
                          </w:txbxContent>
                        </wps:txbx>
                        <wps:bodyPr rtlCol="0" anchor="t"/>
                      </wps:wsp>
                      <wps:wsp>
                        <wps:cNvPr id="1935284134" name="Rectangle 1935284134"/>
                        <wps:cNvSpPr/>
                        <wps:spPr>
                          <a:xfrm>
                            <a:off x="0" y="2839656"/>
                            <a:ext cx="1791532" cy="885114"/>
                          </a:xfrm>
                          <a:prstGeom prst="rect">
                            <a:avLst/>
                          </a:prstGeom>
                          <a:solidFill>
                            <a:srgbClr val="5F87A0"/>
                          </a:solidFill>
                          <a:ln w="12700" cap="flat" cmpd="sng" algn="ctr">
                            <a:noFill/>
                            <a:prstDash val="solid"/>
                            <a:miter lim="800000"/>
                          </a:ln>
                          <a:effectLst/>
                        </wps:spPr>
                        <wps:txbx>
                          <w:txbxContent>
                            <w:p w14:paraId="45D53503" w14:textId="77777777" w:rsidR="00797FBE"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Compliance Committee</w:t>
                              </w:r>
                            </w:p>
                            <w:p w14:paraId="3DAF8D50" w14:textId="0C5A6604" w:rsidR="0067677F" w:rsidRPr="002B5D99" w:rsidRDefault="0067677F" w:rsidP="00AE3B29">
                              <w:pPr>
                                <w:ind w:left="0"/>
                                <w:rPr>
                                  <w:rFonts w:ascii="Calibri" w:eastAsia="Calibri" w:hAnsi="Calibri" w:cs="Arial"/>
                                  <w:b/>
                                  <w:bCs/>
                                  <w:color w:val="FFFFFF"/>
                                  <w:kern w:val="24"/>
                                  <w:sz w:val="16"/>
                                  <w:szCs w:val="16"/>
                                </w:rPr>
                              </w:pPr>
                            </w:p>
                          </w:txbxContent>
                        </wps:txbx>
                        <wps:bodyPr rtlCol="0" anchor="t"/>
                      </wps:wsp>
                      <wps:wsp>
                        <wps:cNvPr id="1935284135" name="Rectangle 1935284135"/>
                        <wps:cNvSpPr/>
                        <wps:spPr>
                          <a:xfrm>
                            <a:off x="2028418" y="2839656"/>
                            <a:ext cx="1791532" cy="885114"/>
                          </a:xfrm>
                          <a:prstGeom prst="rect">
                            <a:avLst/>
                          </a:prstGeom>
                          <a:solidFill>
                            <a:srgbClr val="5F87A0"/>
                          </a:solidFill>
                          <a:ln w="12700" cap="flat" cmpd="sng" algn="ctr">
                            <a:noFill/>
                            <a:prstDash val="solid"/>
                            <a:miter lim="800000"/>
                          </a:ln>
                          <a:effectLst/>
                        </wps:spPr>
                        <wps:txbx>
                          <w:txbxContent>
                            <w:p w14:paraId="03085F47" w14:textId="77777777" w:rsidR="00797FBE"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Fair Valuation Committee (FVC)</w:t>
                              </w:r>
                            </w:p>
                            <w:p w14:paraId="12CD0CE8" w14:textId="7A1FF3A2" w:rsidR="0067677F" w:rsidRPr="002B5D99" w:rsidRDefault="0067677F" w:rsidP="00AE3B29">
                              <w:pPr>
                                <w:ind w:left="0"/>
                                <w:rPr>
                                  <w:rFonts w:ascii="Calibri" w:eastAsia="Calibri" w:hAnsi="Calibri" w:cs="Arial"/>
                                  <w:b/>
                                  <w:bCs/>
                                  <w:color w:val="FFFFFF"/>
                                  <w:kern w:val="24"/>
                                  <w:sz w:val="16"/>
                                  <w:szCs w:val="16"/>
                                </w:rPr>
                              </w:pPr>
                            </w:p>
                          </w:txbxContent>
                        </wps:txbx>
                        <wps:bodyPr rtlCol="0" anchor="t"/>
                      </wps:wsp>
                      <wps:wsp>
                        <wps:cNvPr id="1935284136" name="Rectangle 1935284136"/>
                        <wps:cNvSpPr/>
                        <wps:spPr>
                          <a:xfrm>
                            <a:off x="4056836" y="2839656"/>
                            <a:ext cx="1791532" cy="885114"/>
                          </a:xfrm>
                          <a:prstGeom prst="rect">
                            <a:avLst/>
                          </a:prstGeom>
                          <a:solidFill>
                            <a:srgbClr val="5F87A0"/>
                          </a:solidFill>
                          <a:ln w="12700" cap="flat" cmpd="sng" algn="ctr">
                            <a:noFill/>
                            <a:prstDash val="solid"/>
                            <a:miter lim="800000"/>
                          </a:ln>
                          <a:effectLst/>
                        </wps:spPr>
                        <wps:txbx>
                          <w:txbxContent>
                            <w:p w14:paraId="36D298EB" w14:textId="77777777" w:rsidR="00797FBE"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CASS Committee (CASSCo)</w:t>
                              </w:r>
                            </w:p>
                            <w:p w14:paraId="5F74E7C3" w14:textId="6B31000A" w:rsidR="0067677F" w:rsidRPr="002B5D99" w:rsidRDefault="0067677F" w:rsidP="00AE3B29">
                              <w:pPr>
                                <w:ind w:left="0"/>
                                <w:rPr>
                                  <w:rFonts w:ascii="Calibri" w:eastAsia="Calibri" w:hAnsi="Calibri" w:cs="Arial"/>
                                  <w:b/>
                                  <w:bCs/>
                                  <w:color w:val="FFFFFF"/>
                                  <w:kern w:val="24"/>
                                  <w:sz w:val="16"/>
                                  <w:szCs w:val="16"/>
                                </w:rPr>
                              </w:pPr>
                            </w:p>
                          </w:txbxContent>
                        </wps:txbx>
                        <wps:bodyPr rtlCol="0" anchor="t"/>
                      </wps:wsp>
                      <wps:wsp>
                        <wps:cNvPr id="1935284137" name="Rectangle 1935284137"/>
                        <wps:cNvSpPr/>
                        <wps:spPr>
                          <a:xfrm>
                            <a:off x="0" y="3810931"/>
                            <a:ext cx="1791532" cy="885114"/>
                          </a:xfrm>
                          <a:prstGeom prst="rect">
                            <a:avLst/>
                          </a:prstGeom>
                          <a:solidFill>
                            <a:srgbClr val="5F87A0"/>
                          </a:solidFill>
                          <a:ln w="12700" cap="flat" cmpd="sng" algn="ctr">
                            <a:noFill/>
                            <a:prstDash val="solid"/>
                            <a:miter lim="800000"/>
                          </a:ln>
                          <a:effectLst/>
                        </wps:spPr>
                        <wps:txbx>
                          <w:txbxContent>
                            <w:p w14:paraId="7EB2C4EF" w14:textId="77777777" w:rsidR="00797FBE"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UCITS Remuneration Committee</w:t>
                              </w:r>
                            </w:p>
                            <w:p w14:paraId="22EC089F" w14:textId="303F1059" w:rsidR="0067677F" w:rsidRPr="002B5D99" w:rsidRDefault="0067677F" w:rsidP="00AE3B29">
                              <w:pPr>
                                <w:ind w:left="0"/>
                                <w:rPr>
                                  <w:rFonts w:ascii="Calibri" w:eastAsia="Calibri" w:hAnsi="Calibri" w:cs="Arial"/>
                                  <w:b/>
                                  <w:bCs/>
                                  <w:color w:val="FFFFFF"/>
                                  <w:kern w:val="24"/>
                                  <w:sz w:val="16"/>
                                  <w:szCs w:val="16"/>
                                </w:rPr>
                              </w:pPr>
                            </w:p>
                          </w:txbxContent>
                        </wps:txbx>
                        <wps:bodyPr rtlCol="0" anchor="t"/>
                      </wps:wsp>
                    </wpg:wgp>
                  </a:graphicData>
                </a:graphic>
                <wp14:sizeRelH relativeFrom="margin">
                  <wp14:pctWidth>0</wp14:pctWidth>
                </wp14:sizeRelH>
                <wp14:sizeRelV relativeFrom="margin">
                  <wp14:pctHeight>0</wp14:pctHeight>
                </wp14:sizeRelV>
              </wp:anchor>
            </w:drawing>
          </mc:Choice>
          <mc:Fallback>
            <w:pict>
              <v:group w14:anchorId="3A8A3FA0" id="Group 7" o:spid="_x0000_s1026" style="position:absolute;left:0;text-align:left;margin-left:-9pt;margin-top:.8pt;width:522.75pt;height:301.85pt;z-index:251658240;mso-position-horizontal-relative:margin;mso-width-relative:margin;mso-height-relative:margin" coordsize="119336,4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">
                <v:rect id="Rectangle 1935284122" o:spid="_x0000_s1027" style="position:absolute;top:18684;width:17915;height:8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" fillcolor="#5f87a0" stroked="f" strokeweight="1pt">
                  <v:textbox>
                    <w:txbxContent>
                      <w:p w14:paraId="4B27A0D6" w14:textId="77777777" w:rsidR="0067677F" w:rsidRPr="002B5D99" w:rsidRDefault="0067677F"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London Operational Risk Committee (LORC)</w:t>
                        </w:r>
                      </w:p>
                    </w:txbxContent>
                  </v:textbox>
                </v:rect>
                <v:rect id="Rectangle 1935284123" o:spid="_x0000_s1028" style="position:absolute;left:20284;top:18684;width:17915;height:8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" fillcolor="#5f87a0" stroked="f" strokeweight="1pt">
                  <v:textbox>
                    <w:txbxContent>
                      <w:p w14:paraId="4A5216D2" w14:textId="27321E1F" w:rsidR="0067677F" w:rsidRPr="002B5D99" w:rsidRDefault="00D5563C"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 xml:space="preserve">London </w:t>
                        </w:r>
                        <w:r w:rsidR="0067677F" w:rsidRPr="002B5D99">
                          <w:rPr>
                            <w:rFonts w:ascii="Calibri" w:eastAsia="Calibri" w:hAnsi="Calibri" w:cs="Arial"/>
                            <w:b/>
                            <w:bCs/>
                            <w:color w:val="FFFFFF"/>
                            <w:kern w:val="24"/>
                            <w:sz w:val="16"/>
                            <w:szCs w:val="16"/>
                          </w:rPr>
                          <w:t>Outsourcing</w:t>
                        </w:r>
                        <w:r w:rsidR="00AE3B29" w:rsidRPr="002B5D99">
                          <w:rPr>
                            <w:rFonts w:ascii="Calibri" w:eastAsia="Calibri" w:hAnsi="Calibri" w:cs="Arial"/>
                            <w:b/>
                            <w:bCs/>
                            <w:color w:val="FFFFFF"/>
                            <w:kern w:val="24"/>
                            <w:sz w:val="16"/>
                            <w:szCs w:val="16"/>
                          </w:rPr>
                          <w:t xml:space="preserve"> </w:t>
                        </w:r>
                        <w:r w:rsidR="0067677F" w:rsidRPr="002B5D99">
                          <w:rPr>
                            <w:rFonts w:ascii="Calibri" w:eastAsia="Calibri" w:hAnsi="Calibri" w:cs="Arial"/>
                            <w:b/>
                            <w:bCs/>
                            <w:color w:val="FFFFFF"/>
                            <w:kern w:val="24"/>
                            <w:sz w:val="16"/>
                            <w:szCs w:val="16"/>
                          </w:rPr>
                          <w:t>Steering Committee (LOSC)</w:t>
                        </w:r>
                      </w:p>
                    </w:txbxContent>
                  </v:textbox>
                </v:rect>
                <v:rect id="Rectangle 1935284124" o:spid="_x0000_s1029" style="position:absolute;left:40568;top:18684;width:17915;height:8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" fillcolor="#5f87a0" stroked="f" strokeweight="1pt">
                  <v:textbox>
                    <w:txbxContent>
                      <w:p w14:paraId="4A425167" w14:textId="77777777" w:rsidR="0067677F" w:rsidRPr="002B5D99" w:rsidRDefault="0067677F"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London Operating Committee (LOC)</w:t>
                        </w:r>
                      </w:p>
                    </w:txbxContent>
                  </v:textbox>
                </v:rect>
                <v:rect id="Rectangle 1935284125" o:spid="_x0000_s1030" style="position:absolute;left:60852;top:18684;width:17915;height:8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" fillcolor="#5f87a0" stroked="f" strokeweight="1pt">
                  <v:textbox>
                    <w:txbxContent>
                      <w:p w14:paraId="6D39B176" w14:textId="659C6024" w:rsidR="0067677F" w:rsidRPr="002B5D99" w:rsidRDefault="00B445E0"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 xml:space="preserve">The Brokerage </w:t>
                        </w:r>
                        <w:r w:rsidR="00797FBE" w:rsidRPr="002B5D99">
                          <w:rPr>
                            <w:rFonts w:ascii="Calibri" w:eastAsia="Calibri" w:hAnsi="Calibri" w:cs="Arial"/>
                            <w:b/>
                            <w:bCs/>
                            <w:color w:val="FFFFFF"/>
                            <w:kern w:val="24"/>
                            <w:sz w:val="16"/>
                            <w:szCs w:val="16"/>
                          </w:rPr>
                          <w:t>Committee</w:t>
                        </w:r>
                      </w:p>
                    </w:txbxContent>
                  </v:textbox>
                </v:rect>
                <v:rect id="Rectangle 1935284126" o:spid="_x0000_s1031" style="position:absolute;left:2087;top:9603;width:112697;height:7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" fillcolor="#bdddaf" strokecolor="#304f22" strokeweight="1pt">
                  <v:stroke dashstyle="dash"/>
                  <v:textbox>
                    <w:txbxContent>
                      <w:p w14:paraId="5959DBED" w14:textId="77777777" w:rsidR="0067677F" w:rsidRDefault="0067677F" w:rsidP="0067677F">
                        <w:pPr>
                          <w:jc w:val="center"/>
                          <w:rPr>
                            <w:rFonts w:ascii="Calibri" w:eastAsia="Calibri" w:hAnsi="Calibri" w:cs="Arial"/>
                            <w:color w:val="1F4E79"/>
                            <w:kern w:val="24"/>
                          </w:rPr>
                        </w:pPr>
                        <w:r>
                          <w:rPr>
                            <w:rFonts w:ascii="Calibri" w:eastAsia="Calibri" w:hAnsi="Calibri" w:cs="Arial"/>
                            <w:color w:val="1F4E79"/>
                            <w:kern w:val="24"/>
                          </w:rPr>
                          <w:t>LAML Board and LFM Board (BoD)</w:t>
                        </w:r>
                      </w:p>
                    </w:txbxContent>
                  </v:textbox>
                </v:rect>
                <v:rect id="Rectangle 1935284127" o:spid="_x0000_s1032" style="position:absolute;left:2087;width:112697;height:7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" fillcolor="#d9e8f5" strokecolor="#304f22" strokeweight="1pt">
                  <v:stroke dashstyle="dash"/>
                  <v:textbox>
                    <w:txbxContent>
                      <w:p w14:paraId="6756E7D7" w14:textId="77777777" w:rsidR="0067677F" w:rsidRDefault="0067677F" w:rsidP="0067677F">
                        <w:pPr>
                          <w:jc w:val="center"/>
                          <w:rPr>
                            <w:rFonts w:ascii="Calibri" w:eastAsia="Calibri" w:hAnsi="Calibri" w:cs="Arial"/>
                            <w:color w:val="1F4E79"/>
                            <w:kern w:val="24"/>
                          </w:rPr>
                        </w:pPr>
                        <w:r>
                          <w:rPr>
                            <w:rFonts w:ascii="Calibri" w:eastAsia="Calibri" w:hAnsi="Calibri" w:cs="Arial"/>
                            <w:color w:val="1F4E79"/>
                            <w:kern w:val="24"/>
                          </w:rPr>
                          <w:t>Global Executive Committee (GEC)</w:t>
                        </w:r>
                      </w:p>
                      <w:p w14:paraId="0C090DA8" w14:textId="77777777" w:rsidR="0067677F" w:rsidRDefault="0067677F" w:rsidP="0067677F">
                        <w:pPr>
                          <w:jc w:val="center"/>
                          <w:rPr>
                            <w:rFonts w:ascii="Calibri" w:eastAsia="Calibri" w:hAnsi="Calibri" w:cs="Arial"/>
                            <w:color w:val="1F4E79"/>
                            <w:kern w:val="24"/>
                          </w:rPr>
                        </w:pPr>
                        <w:r>
                          <w:rPr>
                            <w:rFonts w:ascii="Calibri" w:eastAsia="Calibri" w:hAnsi="Calibri" w:cs="Arial"/>
                            <w:color w:val="1F4E79"/>
                            <w:kern w:val="24"/>
                          </w:rPr>
                          <w:t>Global CEO and Country Heads</w:t>
                        </w:r>
                      </w:p>
                    </w:txbxContent>
                  </v:textbox>
                </v:rect>
                <v:rect id="Rectangle 1935284128" o:spid="_x0000_s1033" style="position:absolute;left:81136;top:18684;width:17916;height:8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" fillcolor="#5f87a0" stroked="f" strokeweight="1pt">
                  <v:textbox>
                    <w:txbxContent>
                      <w:p w14:paraId="525DA4BF" w14:textId="36776829" w:rsidR="0067677F" w:rsidRPr="002B5D99" w:rsidRDefault="0067677F"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 xml:space="preserve">The </w:t>
                        </w:r>
                        <w:r w:rsidR="009C0E16" w:rsidRPr="002B5D99">
                          <w:rPr>
                            <w:rFonts w:ascii="Calibri" w:eastAsia="Calibri" w:hAnsi="Calibri" w:cs="Arial"/>
                            <w:b/>
                            <w:bCs/>
                            <w:color w:val="FFFFFF"/>
                            <w:kern w:val="24"/>
                            <w:sz w:val="16"/>
                            <w:szCs w:val="16"/>
                          </w:rPr>
                          <w:t xml:space="preserve">Counterparty Risk </w:t>
                        </w:r>
                        <w:r w:rsidR="00797FBE" w:rsidRPr="002B5D99">
                          <w:rPr>
                            <w:rFonts w:ascii="Calibri" w:eastAsia="Calibri" w:hAnsi="Calibri" w:cs="Arial"/>
                            <w:b/>
                            <w:bCs/>
                            <w:color w:val="FFFFFF"/>
                            <w:kern w:val="24"/>
                            <w:sz w:val="16"/>
                            <w:szCs w:val="16"/>
                          </w:rPr>
                          <w:t>Committee</w:t>
                        </w:r>
                      </w:p>
                    </w:txbxContent>
                  </v:textbox>
                </v:rect>
                <v:rect id="Rectangle 1935284129" o:spid="_x0000_s1034" style="position:absolute;left:101420;top:18684;width:17916;height:8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" fillcolor="#5f87a0" stroked="f" strokeweight="1pt">
                  <v:textbox>
                    <w:txbxContent>
                      <w:p w14:paraId="6D860E7F" w14:textId="1E5FA4E2" w:rsidR="0067677F"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Compensation</w:t>
                        </w:r>
                        <w:r w:rsidR="00CB556D" w:rsidRPr="002B5D99">
                          <w:rPr>
                            <w:rFonts w:ascii="Calibri" w:eastAsia="Calibri" w:hAnsi="Calibri" w:cs="Arial"/>
                            <w:b/>
                            <w:bCs/>
                            <w:color w:val="FFFFFF"/>
                            <w:kern w:val="24"/>
                            <w:sz w:val="16"/>
                            <w:szCs w:val="16"/>
                          </w:rPr>
                          <w:t xml:space="preserve"> Committee</w:t>
                        </w:r>
                      </w:p>
                    </w:txbxContent>
                  </v:textbox>
                </v:rect>
                <v:rect id="Rectangle 1935284130" o:spid="_x0000_s1035" style="position:absolute;left:60852;top:28396;width:17915;height:8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" fillcolor="#5f87a0" stroked="f" strokeweight="1pt">
                  <v:textbox>
                    <w:txbxContent>
                      <w:p w14:paraId="4AE7198B" w14:textId="43D71CBA" w:rsidR="0067677F"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Product Governance Committee (PGC)</w:t>
                        </w:r>
                      </w:p>
                    </w:txbxContent>
                  </v:textbox>
                </v:rect>
                <v:rect id="Rectangle 1935284131" o:spid="_x0000_s1036" style="position:absolute;left:81136;top:28396;width:17916;height:8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" fillcolor="#5f87a0" stroked="f" strokeweight="1pt">
                  <v:textbox>
                    <w:txbxContent>
                      <w:p w14:paraId="7E6300B1" w14:textId="77777777" w:rsidR="00797FBE"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 xml:space="preserve">Best Execution Committee </w:t>
                        </w:r>
                      </w:p>
                      <w:p w14:paraId="1ECBC9A2" w14:textId="6E2B9A1A" w:rsidR="0067677F" w:rsidRPr="002B5D99" w:rsidRDefault="0067677F" w:rsidP="00AE3B29">
                        <w:pPr>
                          <w:ind w:left="0"/>
                          <w:rPr>
                            <w:rFonts w:ascii="Calibri" w:eastAsia="Calibri" w:hAnsi="Calibri" w:cs="Arial"/>
                            <w:b/>
                            <w:bCs/>
                            <w:color w:val="FFFFFF"/>
                            <w:kern w:val="24"/>
                            <w:sz w:val="16"/>
                            <w:szCs w:val="16"/>
                          </w:rPr>
                        </w:pPr>
                      </w:p>
                    </w:txbxContent>
                  </v:textbox>
                </v:rect>
                <v:rect id="Rectangle 1935284132" o:spid="_x0000_s1037" style="position:absolute;left:101420;top:28396;width:17916;height:8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" fillcolor="#5f87a0" stroked="f" strokeweight="1pt">
                  <v:textbox>
                    <w:txbxContent>
                      <w:p w14:paraId="719BADBF" w14:textId="77777777" w:rsidR="00797FBE"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LAML Remuneration Committee</w:t>
                        </w:r>
                      </w:p>
                      <w:p w14:paraId="0B03010E" w14:textId="6449BEED" w:rsidR="0067677F" w:rsidRPr="002B5D99" w:rsidRDefault="0067677F" w:rsidP="00AE3B29">
                        <w:pPr>
                          <w:ind w:left="0"/>
                          <w:rPr>
                            <w:rFonts w:ascii="Calibri" w:eastAsia="Calibri" w:hAnsi="Calibri" w:cs="Arial"/>
                            <w:b/>
                            <w:bCs/>
                            <w:color w:val="FFFFFF"/>
                            <w:kern w:val="24"/>
                            <w:sz w:val="16"/>
                            <w:szCs w:val="16"/>
                          </w:rPr>
                        </w:pPr>
                      </w:p>
                    </w:txbxContent>
                  </v:textbox>
                </v:rect>
                <v:rect id="Rectangle 1935284134" o:spid="_x0000_s1038" style="position:absolute;top:28396;width:17915;height:8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" fillcolor="#5f87a0" stroked="f" strokeweight="1pt">
                  <v:textbox>
                    <w:txbxContent>
                      <w:p w14:paraId="45D53503" w14:textId="77777777" w:rsidR="00797FBE"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Compliance Committee</w:t>
                        </w:r>
                      </w:p>
                      <w:p w14:paraId="3DAF8D50" w14:textId="0C5A6604" w:rsidR="0067677F" w:rsidRPr="002B5D99" w:rsidRDefault="0067677F" w:rsidP="00AE3B29">
                        <w:pPr>
                          <w:ind w:left="0"/>
                          <w:rPr>
                            <w:rFonts w:ascii="Calibri" w:eastAsia="Calibri" w:hAnsi="Calibri" w:cs="Arial"/>
                            <w:b/>
                            <w:bCs/>
                            <w:color w:val="FFFFFF"/>
                            <w:kern w:val="24"/>
                            <w:sz w:val="16"/>
                            <w:szCs w:val="16"/>
                          </w:rPr>
                        </w:pPr>
                      </w:p>
                    </w:txbxContent>
                  </v:textbox>
                </v:rect>
                <v:rect id="Rectangle 1935284135" o:spid="_x0000_s1039" style="position:absolute;left:20284;top:28396;width:17915;height:8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" fillcolor="#5f87a0" stroked="f" strokeweight="1pt">
                  <v:textbox>
                    <w:txbxContent>
                      <w:p w14:paraId="03085F47" w14:textId="77777777" w:rsidR="00797FBE"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Fair Valuation Committee (FVC)</w:t>
                        </w:r>
                      </w:p>
                      <w:p w14:paraId="12CD0CE8" w14:textId="7A1FF3A2" w:rsidR="0067677F" w:rsidRPr="002B5D99" w:rsidRDefault="0067677F" w:rsidP="00AE3B29">
                        <w:pPr>
                          <w:ind w:left="0"/>
                          <w:rPr>
                            <w:rFonts w:ascii="Calibri" w:eastAsia="Calibri" w:hAnsi="Calibri" w:cs="Arial"/>
                            <w:b/>
                            <w:bCs/>
                            <w:color w:val="FFFFFF"/>
                            <w:kern w:val="24"/>
                            <w:sz w:val="16"/>
                            <w:szCs w:val="16"/>
                          </w:rPr>
                        </w:pPr>
                      </w:p>
                    </w:txbxContent>
                  </v:textbox>
                </v:rect>
                <v:rect id="Rectangle 1935284136" o:spid="_x0000_s1040" style="position:absolute;left:40568;top:28396;width:17915;height:8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" fillcolor="#5f87a0" stroked="f" strokeweight="1pt">
                  <v:textbox>
                    <w:txbxContent>
                      <w:p w14:paraId="36D298EB" w14:textId="77777777" w:rsidR="00797FBE"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CASS Committee (CASSCo)</w:t>
                        </w:r>
                      </w:p>
                      <w:p w14:paraId="5F74E7C3" w14:textId="6B31000A" w:rsidR="0067677F" w:rsidRPr="002B5D99" w:rsidRDefault="0067677F" w:rsidP="00AE3B29">
                        <w:pPr>
                          <w:ind w:left="0"/>
                          <w:rPr>
                            <w:rFonts w:ascii="Calibri" w:eastAsia="Calibri" w:hAnsi="Calibri" w:cs="Arial"/>
                            <w:b/>
                            <w:bCs/>
                            <w:color w:val="FFFFFF"/>
                            <w:kern w:val="24"/>
                            <w:sz w:val="16"/>
                            <w:szCs w:val="16"/>
                          </w:rPr>
                        </w:pPr>
                      </w:p>
                    </w:txbxContent>
                  </v:textbox>
                </v:rect>
                <v:rect id="Rectangle 1935284137" o:spid="_x0000_s1041" style="position:absolute;top:38109;width:17915;height:8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" fillcolor="#5f87a0" stroked="f" strokeweight="1pt">
                  <v:textbox>
                    <w:txbxContent>
                      <w:p w14:paraId="7EB2C4EF" w14:textId="77777777" w:rsidR="00797FBE" w:rsidRPr="002B5D99" w:rsidRDefault="00797FBE" w:rsidP="0054141C">
                        <w:pPr>
                          <w:ind w:left="0"/>
                          <w:jc w:val="left"/>
                          <w:rPr>
                            <w:rFonts w:ascii="Calibri" w:eastAsia="Calibri" w:hAnsi="Calibri" w:cs="Arial"/>
                            <w:b/>
                            <w:bCs/>
                            <w:color w:val="FFFFFF"/>
                            <w:kern w:val="24"/>
                            <w:sz w:val="16"/>
                            <w:szCs w:val="16"/>
                          </w:rPr>
                        </w:pPr>
                        <w:r w:rsidRPr="002B5D99">
                          <w:rPr>
                            <w:rFonts w:ascii="Calibri" w:eastAsia="Calibri" w:hAnsi="Calibri" w:cs="Arial"/>
                            <w:b/>
                            <w:bCs/>
                            <w:color w:val="FFFFFF"/>
                            <w:kern w:val="24"/>
                            <w:sz w:val="16"/>
                            <w:szCs w:val="16"/>
                          </w:rPr>
                          <w:t>UCITS Remuneration Committee</w:t>
                        </w:r>
                      </w:p>
                      <w:p w14:paraId="22EC089F" w14:textId="303F1059" w:rsidR="0067677F" w:rsidRPr="002B5D99" w:rsidRDefault="0067677F" w:rsidP="00AE3B29">
                        <w:pPr>
                          <w:ind w:left="0"/>
                          <w:rPr>
                            <w:rFonts w:ascii="Calibri" w:eastAsia="Calibri" w:hAnsi="Calibri" w:cs="Arial"/>
                            <w:b/>
                            <w:bCs/>
                            <w:color w:val="FFFFFF"/>
                            <w:kern w:val="24"/>
                            <w:sz w:val="16"/>
                            <w:szCs w:val="16"/>
                          </w:rPr>
                        </w:pPr>
                      </w:p>
                    </w:txbxContent>
                  </v:textbox>
                </v:rect>
                <w10:wrap anchorx="margin"/>
              </v:group>
            </w:pict>
          </mc:Fallback>
        </mc:AlternateContent>
      </w:r>
    </w:p>
    <w:p w14:paraId="7788FF29" w14:textId="15420D53" w:rsidR="00D5563C" w:rsidRDefault="00D5563C" w:rsidP="00776363">
      <w:pPr>
        <w:ind w:left="0"/>
        <w:rPr>
          <w:noProof/>
        </w:rPr>
      </w:pPr>
    </w:p>
    <w:p w14:paraId="662B986B" w14:textId="619BDEF2" w:rsidR="005315FD" w:rsidRDefault="005315FD" w:rsidP="00776363">
      <w:pPr>
        <w:ind w:left="0"/>
        <w:rPr>
          <w:noProof/>
        </w:rPr>
      </w:pPr>
    </w:p>
    <w:p w14:paraId="1458CD8C" w14:textId="1BDF5FA7" w:rsidR="005315FD" w:rsidRPr="00496FC6" w:rsidRDefault="005315FD" w:rsidP="00776363">
      <w:pPr>
        <w:ind w:left="0"/>
      </w:pPr>
    </w:p>
    <w:p w14:paraId="1106E5AC" w14:textId="39D5CAF1" w:rsidR="003823F6" w:rsidRPr="003823F6" w:rsidRDefault="003823F6" w:rsidP="003823F6">
      <w:pPr>
        <w:spacing w:after="160" w:line="259" w:lineRule="auto"/>
        <w:ind w:left="0"/>
        <w:jc w:val="left"/>
        <w:rPr>
          <w:lang w:val="en-US"/>
        </w:rPr>
      </w:pPr>
    </w:p>
    <w:p w14:paraId="4F138B03" w14:textId="355C6C9A" w:rsidR="004D0E5F" w:rsidRDefault="004D0E5F" w:rsidP="00776363">
      <w:pPr>
        <w:ind w:left="0"/>
      </w:pPr>
    </w:p>
    <w:p w14:paraId="364CA989" w14:textId="3D715293" w:rsidR="003823F6" w:rsidRDefault="003823F6" w:rsidP="00776363">
      <w:pPr>
        <w:ind w:left="0"/>
      </w:pPr>
    </w:p>
    <w:p w14:paraId="3BE8289F" w14:textId="15D82C1D" w:rsidR="003823F6" w:rsidRDefault="003823F6" w:rsidP="00776363">
      <w:pPr>
        <w:ind w:left="0"/>
      </w:pPr>
    </w:p>
    <w:p w14:paraId="2F2AEFAC" w14:textId="1D396072" w:rsidR="003823F6" w:rsidRDefault="003823F6" w:rsidP="00776363">
      <w:pPr>
        <w:ind w:left="0"/>
      </w:pPr>
    </w:p>
    <w:p w14:paraId="3D35A96A" w14:textId="595B4F63" w:rsidR="003823F6" w:rsidRDefault="003823F6" w:rsidP="00776363">
      <w:pPr>
        <w:ind w:left="0"/>
      </w:pPr>
    </w:p>
    <w:p w14:paraId="1F017E61" w14:textId="1B33D102" w:rsidR="005315FD" w:rsidRDefault="007A389C" w:rsidP="00776363">
      <w:pPr>
        <w:ind w:left="0"/>
      </w:pPr>
      <w:r>
        <w:rPr>
          <w:noProof/>
        </w:rPr>
        <mc:AlternateContent>
          <mc:Choice Requires="wps">
            <w:drawing>
              <wp:anchor distT="0" distB="0" distL="114300" distR="114300" simplePos="0" relativeHeight="251666432" behindDoc="0" locked="0" layoutInCell="1" allowOverlap="1" wp14:anchorId="253AE6D9" wp14:editId="5A652E51">
                <wp:simplePos x="0" y="0"/>
                <wp:positionH relativeFrom="column">
                  <wp:posOffset>4400950</wp:posOffset>
                </wp:positionH>
                <wp:positionV relativeFrom="paragraph">
                  <wp:posOffset>92710</wp:posOffset>
                </wp:positionV>
                <wp:extent cx="996667" cy="722540"/>
                <wp:effectExtent l="0" t="0" r="0" b="0"/>
                <wp:wrapNone/>
                <wp:docPr id="5" name="Rectangle 5"/>
                <wp:cNvGraphicFramePr/>
                <a:graphic xmlns:a="http://schemas.openxmlformats.org/drawingml/2006/main">
                  <a:graphicData uri="http://schemas.microsoft.com/office/word/2010/wordprocessingShape">
                    <wps:wsp>
                      <wps:cNvSpPr/>
                      <wps:spPr>
                        <a:xfrm>
                          <a:off x="0" y="0"/>
                          <a:ext cx="996667" cy="722540"/>
                        </a:xfrm>
                        <a:prstGeom prst="rect">
                          <a:avLst/>
                        </a:prstGeom>
                        <a:solidFill>
                          <a:srgbClr val="5F87A0"/>
                        </a:solidFill>
                        <a:ln w="12700" cap="flat" cmpd="sng" algn="ctr">
                          <a:noFill/>
                          <a:prstDash val="solid"/>
                          <a:miter lim="800000"/>
                        </a:ln>
                        <a:effectLst/>
                      </wps:spPr>
                      <wps:txbx>
                        <w:txbxContent>
                          <w:p w14:paraId="5A5C1435" w14:textId="24EC0088" w:rsidR="007A389C" w:rsidRPr="002B5D99" w:rsidRDefault="007A389C" w:rsidP="0054141C">
                            <w:pPr>
                              <w:ind w:left="0"/>
                              <w:jc w:val="left"/>
                              <w:rPr>
                                <w:rFonts w:ascii="Calibri" w:eastAsia="Calibri" w:hAnsi="Calibri" w:cs="Arial"/>
                                <w:b/>
                                <w:bCs/>
                                <w:color w:val="FFFFFF"/>
                                <w:kern w:val="24"/>
                                <w:sz w:val="16"/>
                                <w:szCs w:val="16"/>
                              </w:rPr>
                            </w:pPr>
                            <w:r>
                              <w:rPr>
                                <w:rFonts w:ascii="Calibri" w:eastAsia="Calibri" w:hAnsi="Calibri" w:cs="Arial"/>
                                <w:b/>
                                <w:bCs/>
                                <w:color w:val="FFFFFF"/>
                                <w:kern w:val="24"/>
                                <w:sz w:val="16"/>
                                <w:szCs w:val="16"/>
                              </w:rPr>
                              <w:t>Strategic Growth Group</w:t>
                            </w:r>
                          </w:p>
                        </w:txbxContent>
                      </wps:txbx>
                      <wps:bodyPr rtlCol="0" anchor="t"/>
                    </wps:wsp>
                  </a:graphicData>
                </a:graphic>
              </wp:anchor>
            </w:drawing>
          </mc:Choice>
          <mc:Fallback>
            <w:pict>
              <v:rect w14:anchorId="253AE6D9" id="Rectangle 5" o:spid="_x0000_s1042" style="position:absolute;left:0;text-align:left;margin-left:346.55pt;margin-top:7.3pt;width:78.5pt;height:56.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" fillcolor="#5f87a0" stroked="f" strokeweight="1pt">
                <v:textbox>
                  <w:txbxContent>
                    <w:p w14:paraId="5A5C1435" w14:textId="24EC0088" w:rsidR="007A389C" w:rsidRPr="002B5D99" w:rsidRDefault="007A389C" w:rsidP="0054141C">
                      <w:pPr>
                        <w:ind w:left="0"/>
                        <w:jc w:val="left"/>
                        <w:rPr>
                          <w:rFonts w:ascii="Calibri" w:eastAsia="Calibri" w:hAnsi="Calibri" w:cs="Arial"/>
                          <w:b/>
                          <w:bCs/>
                          <w:color w:val="FFFFFF"/>
                          <w:kern w:val="24"/>
                          <w:sz w:val="16"/>
                          <w:szCs w:val="16"/>
                        </w:rPr>
                      </w:pPr>
                      <w:r>
                        <w:rPr>
                          <w:rFonts w:ascii="Calibri" w:eastAsia="Calibri" w:hAnsi="Calibri" w:cs="Arial"/>
                          <w:b/>
                          <w:bCs/>
                          <w:color w:val="FFFFFF"/>
                          <w:kern w:val="24"/>
                          <w:sz w:val="16"/>
                          <w:szCs w:val="16"/>
                        </w:rPr>
                        <w:t>Strategic Growth Group</w:t>
                      </w:r>
                    </w:p>
                  </w:txbxContent>
                </v:textbox>
              </v:rect>
            </w:pict>
          </mc:Fallback>
        </mc:AlternateContent>
      </w:r>
      <w:r w:rsidR="006A4AE3">
        <w:rPr>
          <w:noProof/>
        </w:rPr>
        <mc:AlternateContent>
          <mc:Choice Requires="wps">
            <w:drawing>
              <wp:anchor distT="0" distB="0" distL="114300" distR="114300" simplePos="0" relativeHeight="251664384" behindDoc="0" locked="0" layoutInCell="1" allowOverlap="1" wp14:anchorId="6326C211" wp14:editId="70133AAE">
                <wp:simplePos x="0" y="0"/>
                <wp:positionH relativeFrom="column">
                  <wp:posOffset>3275948</wp:posOffset>
                </wp:positionH>
                <wp:positionV relativeFrom="paragraph">
                  <wp:posOffset>90071</wp:posOffset>
                </wp:positionV>
                <wp:extent cx="996667" cy="722540"/>
                <wp:effectExtent l="0" t="0" r="0" b="0"/>
                <wp:wrapNone/>
                <wp:docPr id="4" name="Rectangle 4"/>
                <wp:cNvGraphicFramePr/>
                <a:graphic xmlns:a="http://schemas.openxmlformats.org/drawingml/2006/main">
                  <a:graphicData uri="http://schemas.microsoft.com/office/word/2010/wordprocessingShape">
                    <wps:wsp>
                      <wps:cNvSpPr/>
                      <wps:spPr>
                        <a:xfrm>
                          <a:off x="0" y="0"/>
                          <a:ext cx="996667" cy="722540"/>
                        </a:xfrm>
                        <a:prstGeom prst="rect">
                          <a:avLst/>
                        </a:prstGeom>
                        <a:solidFill>
                          <a:srgbClr val="5F87A0"/>
                        </a:solidFill>
                        <a:ln w="12700" cap="flat" cmpd="sng" algn="ctr">
                          <a:noFill/>
                          <a:prstDash val="solid"/>
                          <a:miter lim="800000"/>
                        </a:ln>
                        <a:effectLst/>
                      </wps:spPr>
                      <wps:txbx>
                        <w:txbxContent>
                          <w:p w14:paraId="38CA191A" w14:textId="7F1B9B85" w:rsidR="006A4AE3" w:rsidRPr="002B5D99" w:rsidRDefault="002D5BC6" w:rsidP="0054141C">
                            <w:pPr>
                              <w:ind w:left="0"/>
                              <w:jc w:val="left"/>
                              <w:rPr>
                                <w:rFonts w:ascii="Calibri" w:eastAsia="Calibri" w:hAnsi="Calibri" w:cs="Arial"/>
                                <w:b/>
                                <w:bCs/>
                                <w:color w:val="FFFFFF"/>
                                <w:kern w:val="24"/>
                                <w:sz w:val="16"/>
                                <w:szCs w:val="16"/>
                              </w:rPr>
                            </w:pPr>
                            <w:r>
                              <w:rPr>
                                <w:rFonts w:ascii="Calibri" w:eastAsia="Calibri" w:hAnsi="Calibri" w:cs="Arial"/>
                                <w:b/>
                                <w:bCs/>
                                <w:color w:val="FFFFFF"/>
                                <w:kern w:val="24"/>
                                <w:sz w:val="16"/>
                                <w:szCs w:val="16"/>
                              </w:rPr>
                              <w:t>Infrastructure Management Group</w:t>
                            </w:r>
                          </w:p>
                        </w:txbxContent>
                      </wps:txbx>
                      <wps:bodyPr rtlCol="0" anchor="t"/>
                    </wps:wsp>
                  </a:graphicData>
                </a:graphic>
              </wp:anchor>
            </w:drawing>
          </mc:Choice>
          <mc:Fallback>
            <w:pict>
              <v:rect w14:anchorId="6326C211" id="Rectangle 4" o:spid="_x0000_s1043" style="position:absolute;left:0;text-align:left;margin-left:257.95pt;margin-top:7.1pt;width:78.5pt;height:5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" fillcolor="#5f87a0" stroked="f" strokeweight="1pt">
                <v:textbox>
                  <w:txbxContent>
                    <w:p w14:paraId="38CA191A" w14:textId="7F1B9B85" w:rsidR="006A4AE3" w:rsidRPr="002B5D99" w:rsidRDefault="002D5BC6" w:rsidP="0054141C">
                      <w:pPr>
                        <w:ind w:left="0"/>
                        <w:jc w:val="left"/>
                        <w:rPr>
                          <w:rFonts w:ascii="Calibri" w:eastAsia="Calibri" w:hAnsi="Calibri" w:cs="Arial"/>
                          <w:b/>
                          <w:bCs/>
                          <w:color w:val="FFFFFF"/>
                          <w:kern w:val="24"/>
                          <w:sz w:val="16"/>
                          <w:szCs w:val="16"/>
                        </w:rPr>
                      </w:pPr>
                      <w:r>
                        <w:rPr>
                          <w:rFonts w:ascii="Calibri" w:eastAsia="Calibri" w:hAnsi="Calibri" w:cs="Arial"/>
                          <w:b/>
                          <w:bCs/>
                          <w:color w:val="FFFFFF"/>
                          <w:kern w:val="24"/>
                          <w:sz w:val="16"/>
                          <w:szCs w:val="16"/>
                        </w:rPr>
                        <w:t>Infrastructure Management Group</w:t>
                      </w:r>
                    </w:p>
                  </w:txbxContent>
                </v:textbox>
              </v:rect>
            </w:pict>
          </mc:Fallback>
        </mc:AlternateContent>
      </w:r>
      <w:r w:rsidR="006A4AE3">
        <w:rPr>
          <w:noProof/>
        </w:rPr>
        <mc:AlternateContent>
          <mc:Choice Requires="wps">
            <w:drawing>
              <wp:anchor distT="0" distB="0" distL="114300" distR="114300" simplePos="0" relativeHeight="251662336" behindDoc="0" locked="0" layoutInCell="1" allowOverlap="1" wp14:anchorId="3C78A96D" wp14:editId="6E9C3707">
                <wp:simplePos x="0" y="0"/>
                <wp:positionH relativeFrom="column">
                  <wp:posOffset>2140689</wp:posOffset>
                </wp:positionH>
                <wp:positionV relativeFrom="paragraph">
                  <wp:posOffset>91127</wp:posOffset>
                </wp:positionV>
                <wp:extent cx="996667" cy="722540"/>
                <wp:effectExtent l="0" t="0" r="0" b="0"/>
                <wp:wrapNone/>
                <wp:docPr id="3" name="Rectangle 3"/>
                <wp:cNvGraphicFramePr/>
                <a:graphic xmlns:a="http://schemas.openxmlformats.org/drawingml/2006/main">
                  <a:graphicData uri="http://schemas.microsoft.com/office/word/2010/wordprocessingShape">
                    <wps:wsp>
                      <wps:cNvSpPr/>
                      <wps:spPr>
                        <a:xfrm>
                          <a:off x="0" y="0"/>
                          <a:ext cx="996667" cy="722540"/>
                        </a:xfrm>
                        <a:prstGeom prst="rect">
                          <a:avLst/>
                        </a:prstGeom>
                        <a:solidFill>
                          <a:srgbClr val="5F87A0"/>
                        </a:solidFill>
                        <a:ln w="12700" cap="flat" cmpd="sng" algn="ctr">
                          <a:noFill/>
                          <a:prstDash val="solid"/>
                          <a:miter lim="800000"/>
                        </a:ln>
                        <a:effectLst/>
                      </wps:spPr>
                      <wps:txbx>
                        <w:txbxContent>
                          <w:p w14:paraId="4AB898F7" w14:textId="7CBF9A6B" w:rsidR="006A4AE3" w:rsidRPr="002B5D99" w:rsidRDefault="00A84907" w:rsidP="0054141C">
                            <w:pPr>
                              <w:ind w:left="0"/>
                              <w:jc w:val="left"/>
                              <w:rPr>
                                <w:rFonts w:ascii="Calibri" w:eastAsia="Calibri" w:hAnsi="Calibri" w:cs="Arial"/>
                                <w:b/>
                                <w:bCs/>
                                <w:color w:val="FFFFFF"/>
                                <w:kern w:val="24"/>
                                <w:sz w:val="16"/>
                                <w:szCs w:val="16"/>
                              </w:rPr>
                            </w:pPr>
                            <w:r>
                              <w:rPr>
                                <w:rFonts w:ascii="Calibri" w:eastAsia="Calibri" w:hAnsi="Calibri" w:cs="Arial"/>
                                <w:b/>
                                <w:bCs/>
                                <w:color w:val="FFFFFF"/>
                                <w:kern w:val="24"/>
                                <w:sz w:val="16"/>
                                <w:szCs w:val="16"/>
                              </w:rPr>
                              <w:t>Sales &amp; Marketing Management Group</w:t>
                            </w:r>
                          </w:p>
                        </w:txbxContent>
                      </wps:txbx>
                      <wps:bodyPr rtlCol="0" anchor="t"/>
                    </wps:wsp>
                  </a:graphicData>
                </a:graphic>
              </wp:anchor>
            </w:drawing>
          </mc:Choice>
          <mc:Fallback>
            <w:pict>
              <v:rect w14:anchorId="3C78A96D" id="Rectangle 3" o:spid="_x0000_s1044" style="position:absolute;left:0;text-align:left;margin-left:168.55pt;margin-top:7.2pt;width:78.5pt;height:56.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" fillcolor="#5f87a0" stroked="f" strokeweight="1pt">
                <v:textbox>
                  <w:txbxContent>
                    <w:p w14:paraId="4AB898F7" w14:textId="7CBF9A6B" w:rsidR="006A4AE3" w:rsidRPr="002B5D99" w:rsidRDefault="00A84907" w:rsidP="0054141C">
                      <w:pPr>
                        <w:ind w:left="0"/>
                        <w:jc w:val="left"/>
                        <w:rPr>
                          <w:rFonts w:ascii="Calibri" w:eastAsia="Calibri" w:hAnsi="Calibri" w:cs="Arial"/>
                          <w:b/>
                          <w:bCs/>
                          <w:color w:val="FFFFFF"/>
                          <w:kern w:val="24"/>
                          <w:sz w:val="16"/>
                          <w:szCs w:val="16"/>
                        </w:rPr>
                      </w:pPr>
                      <w:r>
                        <w:rPr>
                          <w:rFonts w:ascii="Calibri" w:eastAsia="Calibri" w:hAnsi="Calibri" w:cs="Arial"/>
                          <w:b/>
                          <w:bCs/>
                          <w:color w:val="FFFFFF"/>
                          <w:kern w:val="24"/>
                          <w:sz w:val="16"/>
                          <w:szCs w:val="16"/>
                        </w:rPr>
                        <w:t>Sales &amp; Marketing Management Group</w:t>
                      </w:r>
                    </w:p>
                  </w:txbxContent>
                </v:textbox>
              </v:rect>
            </w:pict>
          </mc:Fallback>
        </mc:AlternateContent>
      </w:r>
      <w:r w:rsidR="006A4AE3">
        <w:rPr>
          <w:noProof/>
        </w:rPr>
        <mc:AlternateContent>
          <mc:Choice Requires="wps">
            <w:drawing>
              <wp:anchor distT="0" distB="0" distL="114300" distR="114300" simplePos="0" relativeHeight="251660288" behindDoc="0" locked="0" layoutInCell="1" allowOverlap="1" wp14:anchorId="32490CD8" wp14:editId="756FB941">
                <wp:simplePos x="0" y="0"/>
                <wp:positionH relativeFrom="column">
                  <wp:posOffset>1014152</wp:posOffset>
                </wp:positionH>
                <wp:positionV relativeFrom="paragraph">
                  <wp:posOffset>92075</wp:posOffset>
                </wp:positionV>
                <wp:extent cx="996667" cy="722540"/>
                <wp:effectExtent l="0" t="0" r="0" b="0"/>
                <wp:wrapNone/>
                <wp:docPr id="1" name="Rectangle 1"/>
                <wp:cNvGraphicFramePr/>
                <a:graphic xmlns:a="http://schemas.openxmlformats.org/drawingml/2006/main">
                  <a:graphicData uri="http://schemas.microsoft.com/office/word/2010/wordprocessingShape">
                    <wps:wsp>
                      <wps:cNvSpPr/>
                      <wps:spPr>
                        <a:xfrm>
                          <a:off x="0" y="0"/>
                          <a:ext cx="996667" cy="722540"/>
                        </a:xfrm>
                        <a:prstGeom prst="rect">
                          <a:avLst/>
                        </a:prstGeom>
                        <a:solidFill>
                          <a:srgbClr val="5F87A0"/>
                        </a:solidFill>
                        <a:ln w="12700" cap="flat" cmpd="sng" algn="ctr">
                          <a:noFill/>
                          <a:prstDash val="solid"/>
                          <a:miter lim="800000"/>
                        </a:ln>
                        <a:effectLst/>
                      </wps:spPr>
                      <wps:txbx>
                        <w:txbxContent>
                          <w:p w14:paraId="43CD45ED" w14:textId="5A11ADE4" w:rsidR="006A4AE3" w:rsidRPr="002B5D99" w:rsidRDefault="00694EF4" w:rsidP="0054141C">
                            <w:pPr>
                              <w:ind w:left="0"/>
                              <w:jc w:val="left"/>
                              <w:rPr>
                                <w:rFonts w:ascii="Calibri" w:eastAsia="Calibri" w:hAnsi="Calibri" w:cs="Arial"/>
                                <w:b/>
                                <w:bCs/>
                                <w:color w:val="FFFFFF"/>
                                <w:kern w:val="24"/>
                                <w:sz w:val="16"/>
                                <w:szCs w:val="16"/>
                              </w:rPr>
                            </w:pPr>
                            <w:r>
                              <w:rPr>
                                <w:rFonts w:ascii="Calibri" w:eastAsia="Calibri" w:hAnsi="Calibri" w:cs="Arial"/>
                                <w:b/>
                                <w:bCs/>
                                <w:color w:val="FFFFFF"/>
                                <w:kern w:val="24"/>
                                <w:sz w:val="16"/>
                                <w:szCs w:val="16"/>
                              </w:rPr>
                              <w:t>Investment Management Group</w:t>
                            </w:r>
                          </w:p>
                        </w:txbxContent>
                      </wps:txbx>
                      <wps:bodyPr rtlCol="0" anchor="t"/>
                    </wps:wsp>
                  </a:graphicData>
                </a:graphic>
              </wp:anchor>
            </w:drawing>
          </mc:Choice>
          <mc:Fallback>
            <w:pict>
              <v:rect w14:anchorId="32490CD8" id="Rectangle 1" o:spid="_x0000_s1045" style="position:absolute;left:0;text-align:left;margin-left:79.85pt;margin-top:7.25pt;width:78.5pt;height:56.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" fillcolor="#5f87a0" stroked="f" strokeweight="1pt">
                <v:textbox>
                  <w:txbxContent>
                    <w:p w14:paraId="43CD45ED" w14:textId="5A11ADE4" w:rsidR="006A4AE3" w:rsidRPr="002B5D99" w:rsidRDefault="00694EF4" w:rsidP="0054141C">
                      <w:pPr>
                        <w:ind w:left="0"/>
                        <w:jc w:val="left"/>
                        <w:rPr>
                          <w:rFonts w:ascii="Calibri" w:eastAsia="Calibri" w:hAnsi="Calibri" w:cs="Arial"/>
                          <w:b/>
                          <w:bCs/>
                          <w:color w:val="FFFFFF"/>
                          <w:kern w:val="24"/>
                          <w:sz w:val="16"/>
                          <w:szCs w:val="16"/>
                        </w:rPr>
                      </w:pPr>
                      <w:r>
                        <w:rPr>
                          <w:rFonts w:ascii="Calibri" w:eastAsia="Calibri" w:hAnsi="Calibri" w:cs="Arial"/>
                          <w:b/>
                          <w:bCs/>
                          <w:color w:val="FFFFFF"/>
                          <w:kern w:val="24"/>
                          <w:sz w:val="16"/>
                          <w:szCs w:val="16"/>
                        </w:rPr>
                        <w:t>Investment Management Group</w:t>
                      </w:r>
                    </w:p>
                  </w:txbxContent>
                </v:textbox>
              </v:rect>
            </w:pict>
          </mc:Fallback>
        </mc:AlternateContent>
      </w:r>
    </w:p>
    <w:p w14:paraId="76C76E61" w14:textId="54ECCAFB" w:rsidR="005315FD" w:rsidRDefault="005315FD" w:rsidP="00776363">
      <w:pPr>
        <w:ind w:left="0"/>
      </w:pPr>
    </w:p>
    <w:p w14:paraId="454F9632" w14:textId="77777777" w:rsidR="00D07B2C" w:rsidRDefault="00D07B2C" w:rsidP="00776363">
      <w:pPr>
        <w:ind w:left="0"/>
      </w:pPr>
    </w:p>
    <w:p w14:paraId="70777B6C" w14:textId="523B3AE7" w:rsidR="00776363" w:rsidRPr="00496FC6" w:rsidRDefault="00776363" w:rsidP="00776363">
      <w:pPr>
        <w:ind w:left="0"/>
      </w:pPr>
      <w:r w:rsidRPr="3498C462">
        <w:t>Through the structure</w:t>
      </w:r>
      <w:r w:rsidR="700561FB" w:rsidRPr="3498C462">
        <w:t xml:space="preserve"> set out above</w:t>
      </w:r>
      <w:r w:rsidRPr="3498C462">
        <w:t xml:space="preserve">, the </w:t>
      </w:r>
      <w:r w:rsidR="000760D7">
        <w:t>Group</w:t>
      </w:r>
      <w:r w:rsidRPr="3498C462">
        <w:t xml:space="preserve"> incorporates a strict </w:t>
      </w:r>
      <w:r w:rsidR="390DFFD5">
        <w:t>i</w:t>
      </w:r>
      <w:r w:rsidR="42BB9D77">
        <w:t xml:space="preserve">nternal </w:t>
      </w:r>
      <w:r w:rsidR="3820B04D">
        <w:t>g</w:t>
      </w:r>
      <w:r w:rsidR="3B9BCBA7">
        <w:t>overnance</w:t>
      </w:r>
      <w:r w:rsidRPr="3498C462">
        <w:t xml:space="preserve"> framework. </w:t>
      </w:r>
    </w:p>
    <w:p w14:paraId="29F1E0A4" w14:textId="296A5C47" w:rsidR="002C5184" w:rsidRPr="00496FC6" w:rsidRDefault="00776363" w:rsidP="00776363">
      <w:pPr>
        <w:ind w:left="0"/>
      </w:pPr>
      <w:r w:rsidRPr="7F3F34CE">
        <w:t xml:space="preserve">Moreover, </w:t>
      </w:r>
      <w:r w:rsidR="00B15FC3" w:rsidRPr="7F3F34CE">
        <w:t xml:space="preserve">the </w:t>
      </w:r>
      <w:r w:rsidR="00541107">
        <w:t>Group</w:t>
      </w:r>
      <w:r w:rsidR="00496EFF" w:rsidRPr="7F3F34CE" w:rsidDel="006E58D7">
        <w:t xml:space="preserve"> </w:t>
      </w:r>
      <w:r w:rsidRPr="7F3F34CE">
        <w:t xml:space="preserve">maintains </w:t>
      </w:r>
      <w:r w:rsidR="0A3EE6FB" w:rsidRPr="7F3F34CE">
        <w:t>appropriate</w:t>
      </w:r>
      <w:r w:rsidRPr="7F3F34CE">
        <w:t xml:space="preserve"> risk management policies and procedures which identify the risks relating to the </w:t>
      </w:r>
      <w:r w:rsidR="00541107">
        <w:t>Group</w:t>
      </w:r>
      <w:r w:rsidRPr="7F3F34CE">
        <w:t xml:space="preserve">’s activities, </w:t>
      </w:r>
      <w:proofErr w:type="gramStart"/>
      <w:r w:rsidRPr="7F3F34CE">
        <w:t>processes</w:t>
      </w:r>
      <w:proofErr w:type="gramEnd"/>
      <w:r w:rsidRPr="7F3F34CE">
        <w:t xml:space="preserve"> and systems, and where appropriate, sets the level of risk tolerated by the </w:t>
      </w:r>
      <w:r w:rsidR="00541107">
        <w:t>Group</w:t>
      </w:r>
      <w:r w:rsidRPr="7F3F34CE">
        <w:t xml:space="preserve">. The </w:t>
      </w:r>
      <w:r w:rsidR="00256DA8">
        <w:t>Group</w:t>
      </w:r>
      <w:r w:rsidRPr="7F3F34CE">
        <w:t xml:space="preserve"> adopts effective arrangements, </w:t>
      </w:r>
      <w:proofErr w:type="gramStart"/>
      <w:r w:rsidRPr="7F3F34CE">
        <w:t>processes</w:t>
      </w:r>
      <w:proofErr w:type="gramEnd"/>
      <w:r w:rsidRPr="7F3F34CE">
        <w:t xml:space="preserve"> and systems, in light of the level of risk tolerance</w:t>
      </w:r>
      <w:r w:rsidR="00EE4168" w:rsidRPr="7F3F34CE">
        <w:t xml:space="preserve"> set</w:t>
      </w:r>
      <w:r w:rsidRPr="7F3F34CE">
        <w:t>, where applicable.</w:t>
      </w:r>
    </w:p>
    <w:p w14:paraId="3BEB2C7E" w14:textId="3BB48DAF" w:rsidR="002C5184" w:rsidRPr="00496FC6" w:rsidRDefault="00775B6D">
      <w:pPr>
        <w:pStyle w:val="Heading2"/>
        <w:numPr>
          <w:ilvl w:val="1"/>
          <w:numId w:val="2"/>
        </w:numPr>
        <w:rPr>
          <w:rFonts w:asciiTheme="minorHAnsi" w:hAnsiTheme="minorHAnsi" w:cstheme="minorBidi"/>
        </w:rPr>
      </w:pPr>
      <w:bookmarkStart w:id="35" w:name="_Toc1898375959"/>
      <w:bookmarkStart w:id="36" w:name="_Toc139016569"/>
      <w:r w:rsidRPr="3498C462">
        <w:rPr>
          <w:rFonts w:asciiTheme="minorHAnsi" w:hAnsiTheme="minorHAnsi" w:cstheme="minorBidi"/>
        </w:rPr>
        <w:t>Board of Directors</w:t>
      </w:r>
      <w:bookmarkEnd w:id="35"/>
      <w:bookmarkEnd w:id="36"/>
    </w:p>
    <w:p w14:paraId="69D7453A" w14:textId="6AD0F8FA" w:rsidR="52168695" w:rsidRDefault="52168695" w:rsidP="30FFFDE9">
      <w:pPr>
        <w:ind w:left="0"/>
      </w:pPr>
      <w:r>
        <w:br/>
      </w:r>
      <w:r w:rsidRPr="30FFFDE9">
        <w:t xml:space="preserve">The Board has the ultimate and overall responsibility for overseeing the management of the business and affairs of the </w:t>
      </w:r>
      <w:r w:rsidR="00256DA8">
        <w:t>Group</w:t>
      </w:r>
      <w:r>
        <w:t xml:space="preserve"> </w:t>
      </w:r>
      <w:r w:rsidRPr="30FFFDE9">
        <w:t xml:space="preserve">and defines, oversees and is accountable for the implementation of the governance arrangements. The Board is responsible for ensuring that the </w:t>
      </w:r>
      <w:r w:rsidR="00256DA8">
        <w:t>Group</w:t>
      </w:r>
      <w:r w:rsidRPr="30FFFDE9">
        <w:t xml:space="preserve"> complies with its </w:t>
      </w:r>
      <w:r w:rsidR="00062815">
        <w:t>obligations pursuant to applicable law and regulation</w:t>
      </w:r>
      <w:r w:rsidRPr="30FFFDE9">
        <w:t>. In doing so, the Board approves and periodically reviews the effectiveness of the policies, arrangements, and procedures in place, and if needed, takes appropriate measures to address any deficiencies.</w:t>
      </w:r>
    </w:p>
    <w:p w14:paraId="6DEC808F" w14:textId="77777777" w:rsidR="00B42E81" w:rsidRDefault="00B42E81" w:rsidP="30FFFDE9">
      <w:pPr>
        <w:ind w:left="0"/>
      </w:pPr>
    </w:p>
    <w:p w14:paraId="77813625" w14:textId="48191F8C" w:rsidR="00A7203A" w:rsidRDefault="00B465A8" w:rsidP="00775B6D">
      <w:pPr>
        <w:ind w:left="0"/>
        <w:rPr>
          <w:rFonts w:cstheme="minorHAnsi"/>
        </w:rPr>
      </w:pPr>
      <w:r>
        <w:rPr>
          <w:rFonts w:cstheme="minorHAnsi"/>
        </w:rPr>
        <w:lastRenderedPageBreak/>
        <w:t>The Board is responsible for:</w:t>
      </w:r>
    </w:p>
    <w:p w14:paraId="06DC29AF" w14:textId="62188554" w:rsidR="00B465A8" w:rsidRDefault="00B465A8">
      <w:pPr>
        <w:pStyle w:val="ListParagraph"/>
        <w:numPr>
          <w:ilvl w:val="0"/>
          <w:numId w:val="22"/>
        </w:numPr>
      </w:pPr>
      <w:r w:rsidRPr="3498C462">
        <w:t xml:space="preserve">Strategy and </w:t>
      </w:r>
      <w:r w:rsidR="3986182D">
        <w:t>o</w:t>
      </w:r>
      <w:r w:rsidR="4A4A6C74">
        <w:t xml:space="preserve">perating </w:t>
      </w:r>
      <w:r w:rsidR="79640DC0">
        <w:t>p</w:t>
      </w:r>
      <w:r w:rsidR="15FBF66A">
        <w:t>erformance</w:t>
      </w:r>
    </w:p>
    <w:p w14:paraId="387A5856" w14:textId="3175535B" w:rsidR="00B465A8" w:rsidRPr="00B465A8" w:rsidRDefault="008A7A28">
      <w:pPr>
        <w:pStyle w:val="ListParagraph"/>
        <w:numPr>
          <w:ilvl w:val="0"/>
          <w:numId w:val="22"/>
        </w:numPr>
      </w:pPr>
      <w:r>
        <w:t>Group</w:t>
      </w:r>
      <w:r w:rsidR="00B465A8" w:rsidRPr="3498C462">
        <w:t xml:space="preserve"> </w:t>
      </w:r>
      <w:r w:rsidR="30C61022">
        <w:t>v</w:t>
      </w:r>
      <w:r w:rsidR="15FBF66A">
        <w:t>alues</w:t>
      </w:r>
      <w:r w:rsidR="00B465A8" w:rsidRPr="3498C462">
        <w:t xml:space="preserve"> and alignment with </w:t>
      </w:r>
      <w:proofErr w:type="gramStart"/>
      <w:r w:rsidR="25192CB2">
        <w:t>c</w:t>
      </w:r>
      <w:r w:rsidR="15FBF66A">
        <w:t>ulture</w:t>
      </w:r>
      <w:proofErr w:type="gramEnd"/>
    </w:p>
    <w:p w14:paraId="16203397" w14:textId="5DFB5EFE" w:rsidR="00B465A8" w:rsidRPr="00B465A8" w:rsidRDefault="00B465A8">
      <w:pPr>
        <w:pStyle w:val="ListParagraph"/>
        <w:numPr>
          <w:ilvl w:val="0"/>
          <w:numId w:val="22"/>
        </w:numPr>
      </w:pPr>
      <w:r w:rsidRPr="3498C462">
        <w:t xml:space="preserve">Risk </w:t>
      </w:r>
      <w:proofErr w:type="gramStart"/>
      <w:r w:rsidR="070EFA09">
        <w:t>m</w:t>
      </w:r>
      <w:r w:rsidR="15FBF66A">
        <w:t>anagement</w:t>
      </w:r>
      <w:proofErr w:type="gramEnd"/>
    </w:p>
    <w:p w14:paraId="6C67F46E" w14:textId="52BF2C0F" w:rsidR="00B465A8" w:rsidRPr="00B465A8" w:rsidRDefault="00B465A8">
      <w:pPr>
        <w:pStyle w:val="ListParagraph"/>
        <w:numPr>
          <w:ilvl w:val="0"/>
          <w:numId w:val="22"/>
        </w:numPr>
      </w:pPr>
      <w:r w:rsidRPr="3498C462">
        <w:t xml:space="preserve">Management </w:t>
      </w:r>
      <w:r w:rsidR="5021C533" w:rsidRPr="3498C462">
        <w:t xml:space="preserve">and </w:t>
      </w:r>
      <w:r w:rsidR="53B427FE">
        <w:t>r</w:t>
      </w:r>
      <w:r w:rsidR="15FBF66A">
        <w:t>esources</w:t>
      </w:r>
    </w:p>
    <w:p w14:paraId="6B191239" w14:textId="733596CC" w:rsidR="00B465A8" w:rsidRPr="00B465A8" w:rsidRDefault="15FBF66A">
      <w:pPr>
        <w:pStyle w:val="ListParagraph"/>
        <w:numPr>
          <w:ilvl w:val="0"/>
          <w:numId w:val="22"/>
        </w:numPr>
      </w:pPr>
      <w:r>
        <w:t>Finance/</w:t>
      </w:r>
      <w:r w:rsidR="26005CAA">
        <w:t>f</w:t>
      </w:r>
      <w:r>
        <w:t xml:space="preserve">inancial </w:t>
      </w:r>
      <w:proofErr w:type="gramStart"/>
      <w:r w:rsidR="0FE3812E">
        <w:t>r</w:t>
      </w:r>
      <w:r>
        <w:t>eporting</w:t>
      </w:r>
      <w:proofErr w:type="gramEnd"/>
    </w:p>
    <w:p w14:paraId="3668E63C" w14:textId="11FEF574" w:rsidR="00B465A8" w:rsidRPr="00496FC6" w:rsidDel="00B465A8" w:rsidRDefault="00B465A8">
      <w:pPr>
        <w:pStyle w:val="ListParagraph"/>
        <w:numPr>
          <w:ilvl w:val="0"/>
          <w:numId w:val="22"/>
        </w:numPr>
      </w:pPr>
      <w:r w:rsidRPr="3498C462">
        <w:t>Board composition/</w:t>
      </w:r>
      <w:proofErr w:type="gramStart"/>
      <w:r w:rsidRPr="3498C462">
        <w:t>effectiveness</w:t>
      </w:r>
      <w:proofErr w:type="gramEnd"/>
    </w:p>
    <w:p w14:paraId="5921CD64" w14:textId="47B8BD6A" w:rsidR="0CF2FDB8" w:rsidRDefault="7C10A252" w:rsidP="006F13D3">
      <w:pPr>
        <w:ind w:left="0"/>
        <w:jc w:val="left"/>
        <w:rPr>
          <w:rFonts w:ascii="Calibri" w:eastAsia="Calibri" w:hAnsi="Calibri" w:cs="Calibri"/>
        </w:rPr>
      </w:pPr>
      <w:r>
        <w:t xml:space="preserve">The </w:t>
      </w:r>
      <w:r w:rsidR="1D50CC2D">
        <w:t>Board</w:t>
      </w:r>
      <w:r>
        <w:t xml:space="preserve"> comprises </w:t>
      </w:r>
      <w:r w:rsidRPr="00EA7E00">
        <w:t>of six executive directors who</w:t>
      </w:r>
      <w:r>
        <w:t xml:space="preserve"> have significant experience in the </w:t>
      </w:r>
      <w:r w:rsidR="009E62B5">
        <w:t>asset management industry</w:t>
      </w:r>
      <w:r>
        <w:t xml:space="preserve"> and have a proven track record of being senior managers/directors of Lazard and other successful and well-run businesses.</w:t>
      </w:r>
      <w:bookmarkEnd w:id="16"/>
    </w:p>
    <w:p w14:paraId="59DE022F" w14:textId="104B05E4" w:rsidR="00F71B3E" w:rsidRPr="00DC5AD5" w:rsidRDefault="00F71B3E" w:rsidP="00DC5AD5">
      <w:pPr>
        <w:pStyle w:val="Heading2"/>
        <w:numPr>
          <w:ilvl w:val="1"/>
          <w:numId w:val="2"/>
        </w:numPr>
        <w:spacing w:after="100" w:afterAutospacing="1"/>
        <w:rPr>
          <w:rFonts w:asciiTheme="minorHAnsi" w:hAnsiTheme="minorHAnsi" w:cstheme="minorHAnsi"/>
        </w:rPr>
      </w:pPr>
      <w:bookmarkStart w:id="37" w:name="_Toc139016570"/>
      <w:bookmarkStart w:id="38" w:name="_Toc1383997382"/>
      <w:r w:rsidRPr="004B4FB2">
        <w:rPr>
          <w:rFonts w:asciiTheme="minorHAnsi" w:hAnsiTheme="minorHAnsi" w:cstheme="minorHAnsi"/>
        </w:rPr>
        <w:t>Committees</w:t>
      </w:r>
      <w:bookmarkEnd w:id="37"/>
      <w:r w:rsidRPr="004B4FB2">
        <w:rPr>
          <w:rFonts w:asciiTheme="minorHAnsi" w:hAnsiTheme="minorHAnsi" w:cstheme="minorHAnsi"/>
        </w:rPr>
        <w:t xml:space="preserve"> </w:t>
      </w:r>
    </w:p>
    <w:p w14:paraId="28000438" w14:textId="7AEF687E" w:rsidR="00F71B3E" w:rsidRDefault="00F71B3E" w:rsidP="00F71B3E">
      <w:pPr>
        <w:ind w:left="0"/>
      </w:pPr>
      <w:r>
        <w:t xml:space="preserve">The Board delegates authority to </w:t>
      </w:r>
      <w:proofErr w:type="gramStart"/>
      <w:r>
        <w:t>a number of</w:t>
      </w:r>
      <w:proofErr w:type="gramEnd"/>
      <w:r>
        <w:t xml:space="preserve"> committees, details of which are set out below</w:t>
      </w:r>
      <w:r w:rsidR="007966C9">
        <w:t>.</w:t>
      </w:r>
    </w:p>
    <w:p w14:paraId="23AEA320" w14:textId="56D12B56" w:rsidR="00F71B3E" w:rsidRDefault="00F71B3E" w:rsidP="00F71B3E">
      <w:pPr>
        <w:ind w:left="0"/>
      </w:pPr>
      <w:r>
        <w:t xml:space="preserve">Establishing committees helps management bodies in their supervisory functions. Committees draw on the specific knowledge and areas of expertise of individual management body members. </w:t>
      </w:r>
    </w:p>
    <w:p w14:paraId="074AEC66" w14:textId="3D039158" w:rsidR="00F71B3E" w:rsidRDefault="00F71B3E" w:rsidP="00F71B3E">
      <w:pPr>
        <w:ind w:left="0"/>
      </w:pPr>
      <w:r>
        <w:t xml:space="preserve">For the avoidance of doubt, primary responsibility for the oversight of the </w:t>
      </w:r>
      <w:r w:rsidR="001740E0">
        <w:t>Group</w:t>
      </w:r>
      <w:r>
        <w:t xml:space="preserve"> rests with the individuals who hold SMF functions and/or prescribed responsibilities under the FCA Senior Managers and Certification Regime.</w:t>
      </w:r>
    </w:p>
    <w:p w14:paraId="55EED1FA" w14:textId="77777777" w:rsidR="00FB630B" w:rsidRPr="00AF119A" w:rsidRDefault="00FB630B" w:rsidP="00FB630B">
      <w:pPr>
        <w:ind w:left="0"/>
      </w:pPr>
      <w:r w:rsidRPr="00AF119A">
        <w:t xml:space="preserve">The governance structure and the risk management framework both at LAM Group (by which we mean Lazard Asset Management globally) and local levels, underpin the LAML Group Boards’ approach to risk and control.  </w:t>
      </w:r>
    </w:p>
    <w:p w14:paraId="45FA532A" w14:textId="77777777" w:rsidR="00FB630B" w:rsidRPr="00FB630B" w:rsidRDefault="00FB630B" w:rsidP="00FB630B">
      <w:pPr>
        <w:ind w:left="0"/>
      </w:pPr>
      <w:r w:rsidRPr="00AF119A">
        <w:t xml:space="preserve">LAM Group management maintains a risk aware culture across the LAM Group. Principal day to day responsibility for risk management is at the business unit level. LAM Group policies and procedures as relevant are adopted by the LAML &amp; LFM Boards and </w:t>
      </w:r>
      <w:proofErr w:type="gramStart"/>
      <w:r w:rsidRPr="00AF119A">
        <w:t>these cascade</w:t>
      </w:r>
      <w:proofErr w:type="gramEnd"/>
      <w:r w:rsidRPr="00AF119A">
        <w:t xml:space="preserve"> down to senior and business line management and to board delegated committees (see table below). The LAML &amp; LFM Boards are responsible for ensuring that an appropriate corporate governance regime is in place and that there is a clearly defined structure and management framework.</w:t>
      </w:r>
    </w:p>
    <w:p w14:paraId="4CEBC2A5" w14:textId="475E5C66" w:rsidR="00AA27FE" w:rsidRDefault="00AA27FE" w:rsidP="00F71B3E">
      <w:pPr>
        <w:ind w:left="0"/>
      </w:pPr>
      <w:r w:rsidRPr="00AA27FE">
        <w:t xml:space="preserve">The LAM Group Management Committee, of which the LAML CEO is a member, sets overall LAM Group strategy.  The LAML &amp; LFM Boards of directors set the LAML Group’s own corporate and strategic objectives, ensure high ethical standards, ensure that the Group reputation continues to be maintained, take all decisions regarding major expenditure and </w:t>
      </w:r>
      <w:proofErr w:type="gramStart"/>
      <w:r w:rsidRPr="00AA27FE">
        <w:t>initiatives</w:t>
      </w:r>
      <w:proofErr w:type="gramEnd"/>
      <w:r w:rsidRPr="00AA27FE">
        <w:t xml:space="preserve"> and protect the financial security of the LAML Group.</w:t>
      </w:r>
    </w:p>
    <w:tbl>
      <w:tblPr>
        <w:tblStyle w:val="xTableaupagedegarde11"/>
        <w:tblW w:w="9665" w:type="dxa"/>
        <w:tblLook w:val="04A0" w:firstRow="1" w:lastRow="0" w:firstColumn="1" w:lastColumn="0" w:noHBand="0" w:noVBand="1"/>
      </w:tblPr>
      <w:tblGrid>
        <w:gridCol w:w="2092"/>
        <w:gridCol w:w="2723"/>
        <w:gridCol w:w="2693"/>
        <w:gridCol w:w="2157"/>
      </w:tblGrid>
      <w:tr w:rsidR="00AE253B" w:rsidRPr="006A4AE3" w14:paraId="13C09FBB" w14:textId="77777777" w:rsidTr="00AD0A78">
        <w:tc>
          <w:tcPr>
            <w:tcW w:w="2092" w:type="dxa"/>
          </w:tcPr>
          <w:p w14:paraId="671CE34D" w14:textId="77777777" w:rsidR="00AE253B" w:rsidRPr="006A4AE3" w:rsidRDefault="00AE253B" w:rsidP="00AD0A78">
            <w:pPr>
              <w:ind w:left="0"/>
              <w:jc w:val="left"/>
              <w:rPr>
                <w:rFonts w:ascii="Calibri" w:eastAsia="Calibri" w:hAnsi="Calibri" w:cs="Calibri"/>
                <w:sz w:val="18"/>
                <w:szCs w:val="18"/>
              </w:rPr>
            </w:pPr>
            <w:bookmarkStart w:id="39" w:name="_Hlk170378113"/>
            <w:r w:rsidRPr="006A4AE3">
              <w:rPr>
                <w:rFonts w:ascii="Calibri" w:eastAsia="Calibri" w:hAnsi="Calibri" w:cs="Calibri"/>
                <w:sz w:val="18"/>
                <w:szCs w:val="18"/>
              </w:rPr>
              <w:t>Committee</w:t>
            </w:r>
          </w:p>
        </w:tc>
        <w:tc>
          <w:tcPr>
            <w:tcW w:w="2723" w:type="dxa"/>
          </w:tcPr>
          <w:p w14:paraId="5A48F7A8"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Terms of Reference</w:t>
            </w:r>
          </w:p>
        </w:tc>
        <w:tc>
          <w:tcPr>
            <w:tcW w:w="2693" w:type="dxa"/>
          </w:tcPr>
          <w:p w14:paraId="3C51DD72"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Participants</w:t>
            </w:r>
          </w:p>
        </w:tc>
        <w:tc>
          <w:tcPr>
            <w:tcW w:w="2157" w:type="dxa"/>
          </w:tcPr>
          <w:p w14:paraId="2BA92A18"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Freq. of Meetings</w:t>
            </w:r>
          </w:p>
        </w:tc>
      </w:tr>
      <w:tr w:rsidR="00AE253B" w:rsidRPr="006A4AE3" w14:paraId="1C13145E" w14:textId="77777777" w:rsidTr="00AD0A78">
        <w:tc>
          <w:tcPr>
            <w:tcW w:w="2092" w:type="dxa"/>
          </w:tcPr>
          <w:p w14:paraId="5FBC8792"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LAML Board</w:t>
            </w:r>
          </w:p>
          <w:p w14:paraId="5EA9E68C" w14:textId="77777777" w:rsidR="00AE253B" w:rsidRPr="006A4AE3" w:rsidRDefault="00AE253B" w:rsidP="00AD0A78">
            <w:pPr>
              <w:ind w:left="0"/>
              <w:jc w:val="left"/>
              <w:rPr>
                <w:rFonts w:ascii="Calibri" w:eastAsia="Calibri" w:hAnsi="Calibri" w:cs="Calibri"/>
                <w:sz w:val="18"/>
                <w:szCs w:val="18"/>
              </w:rPr>
            </w:pPr>
          </w:p>
          <w:p w14:paraId="36FE6206" w14:textId="77777777" w:rsidR="00AE253B" w:rsidRPr="006A4AE3" w:rsidRDefault="00AE253B" w:rsidP="00AD0A78">
            <w:pPr>
              <w:ind w:left="0"/>
              <w:jc w:val="left"/>
              <w:rPr>
                <w:rFonts w:ascii="Calibri" w:eastAsia="Calibri" w:hAnsi="Calibri" w:cs="Calibri"/>
                <w:sz w:val="18"/>
                <w:szCs w:val="18"/>
              </w:rPr>
            </w:pPr>
          </w:p>
        </w:tc>
        <w:tc>
          <w:tcPr>
            <w:tcW w:w="2723" w:type="dxa"/>
          </w:tcPr>
          <w:p w14:paraId="58035FDD"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All matters relating to LAML</w:t>
            </w:r>
          </w:p>
        </w:tc>
        <w:tc>
          <w:tcPr>
            <w:tcW w:w="2693" w:type="dxa"/>
          </w:tcPr>
          <w:p w14:paraId="14817967"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LAML CEO</w:t>
            </w:r>
          </w:p>
          <w:p w14:paraId="461B2F45"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 LLC Deputy Chairman</w:t>
            </w:r>
          </w:p>
          <w:p w14:paraId="1BF15584" w14:textId="77777777" w:rsidR="00AE253B" w:rsidRPr="00A86FB7"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 xml:space="preserve">LAM LLC Chief Operating Officer </w:t>
            </w:r>
            <w:r w:rsidRPr="006A4AE3" w:rsidDel="007C07B2">
              <w:rPr>
                <w:rFonts w:ascii="Calibri" w:eastAsia="Calibri" w:hAnsi="Calibri" w:cs="Arial"/>
                <w:sz w:val="18"/>
                <w:szCs w:val="18"/>
              </w:rPr>
              <w:t xml:space="preserve"> </w:t>
            </w:r>
          </w:p>
          <w:p w14:paraId="146A6E91" w14:textId="77777777" w:rsidR="00AE253B"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LAML Head of Finance</w:t>
            </w:r>
          </w:p>
          <w:p w14:paraId="52205A56" w14:textId="77777777" w:rsidR="00AE253B" w:rsidRPr="00A86FB7" w:rsidRDefault="00AE253B" w:rsidP="00AD0A78">
            <w:pPr>
              <w:spacing w:after="0"/>
              <w:ind w:left="0"/>
              <w:jc w:val="left"/>
              <w:rPr>
                <w:rFonts w:ascii="Calibri" w:eastAsia="Calibri" w:hAnsi="Calibri" w:cs="Arial"/>
                <w:sz w:val="18"/>
                <w:szCs w:val="18"/>
              </w:rPr>
            </w:pPr>
            <w:r>
              <w:rPr>
                <w:rFonts w:ascii="Calibri" w:eastAsia="Calibri" w:hAnsi="Calibri" w:cs="Arial"/>
                <w:sz w:val="18"/>
                <w:szCs w:val="18"/>
              </w:rPr>
              <w:t>LAM LLC Senior Investment Professional</w:t>
            </w:r>
          </w:p>
          <w:p w14:paraId="3E366EC8" w14:textId="77777777" w:rsidR="00AE253B" w:rsidRPr="00A86FB7"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LAML COO and Head of Legal (Secretary)</w:t>
            </w:r>
          </w:p>
          <w:p w14:paraId="4944CAD1"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LAML Business Heads</w:t>
            </w:r>
          </w:p>
          <w:p w14:paraId="6F259DCC" w14:textId="77777777" w:rsidR="00AE253B" w:rsidRPr="00A86FB7" w:rsidRDefault="00AE253B" w:rsidP="00AD0A78">
            <w:pPr>
              <w:ind w:left="0"/>
              <w:jc w:val="left"/>
              <w:rPr>
                <w:rFonts w:ascii="Calibri" w:eastAsia="Calibri" w:hAnsi="Calibri" w:cs="Arial"/>
                <w:sz w:val="18"/>
                <w:szCs w:val="18"/>
              </w:rPr>
            </w:pPr>
          </w:p>
        </w:tc>
        <w:tc>
          <w:tcPr>
            <w:tcW w:w="2157" w:type="dxa"/>
          </w:tcPr>
          <w:p w14:paraId="11238E34"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Quarterly as standard, with ad hoc meetings as required</w:t>
            </w:r>
          </w:p>
        </w:tc>
      </w:tr>
      <w:tr w:rsidR="00AE253B" w:rsidRPr="006A4AE3" w14:paraId="46E61B42" w14:textId="77777777" w:rsidTr="00AD0A78">
        <w:tc>
          <w:tcPr>
            <w:tcW w:w="2092" w:type="dxa"/>
          </w:tcPr>
          <w:p w14:paraId="23012BD3"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lastRenderedPageBreak/>
              <w:t>LFM Board</w:t>
            </w:r>
          </w:p>
        </w:tc>
        <w:tc>
          <w:tcPr>
            <w:tcW w:w="2723" w:type="dxa"/>
          </w:tcPr>
          <w:p w14:paraId="7EFAF0AD"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All matters relating to LFM</w:t>
            </w:r>
          </w:p>
        </w:tc>
        <w:tc>
          <w:tcPr>
            <w:tcW w:w="2693" w:type="dxa"/>
          </w:tcPr>
          <w:p w14:paraId="7BF0116F"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LAML CEO</w:t>
            </w:r>
          </w:p>
          <w:p w14:paraId="43D9C171"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 LLC Deputy Chairman</w:t>
            </w:r>
          </w:p>
          <w:p w14:paraId="13DED81B" w14:textId="77777777" w:rsidR="00AE253B"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Chief Operating Officer</w:t>
            </w:r>
          </w:p>
          <w:p w14:paraId="6715454B" w14:textId="77777777" w:rsidR="00AE253B" w:rsidRPr="00A86FB7" w:rsidRDefault="00AE253B" w:rsidP="00AD0A78">
            <w:pPr>
              <w:spacing w:after="0"/>
              <w:ind w:left="0"/>
              <w:jc w:val="left"/>
              <w:rPr>
                <w:rFonts w:ascii="Calibri" w:eastAsia="Calibri" w:hAnsi="Calibri" w:cs="Arial"/>
                <w:sz w:val="18"/>
                <w:szCs w:val="18"/>
              </w:rPr>
            </w:pPr>
            <w:r>
              <w:rPr>
                <w:rFonts w:ascii="Calibri" w:eastAsia="Calibri" w:hAnsi="Calibri" w:cs="Arial"/>
                <w:sz w:val="18"/>
                <w:szCs w:val="18"/>
              </w:rPr>
              <w:t>LAM LLC Senior Investment Professional</w:t>
            </w:r>
          </w:p>
          <w:p w14:paraId="36104502"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 xml:space="preserve">2x </w:t>
            </w:r>
            <w:r>
              <w:rPr>
                <w:rFonts w:ascii="Calibri" w:eastAsia="Calibri" w:hAnsi="Calibri" w:cs="Arial"/>
                <w:sz w:val="18"/>
                <w:szCs w:val="18"/>
              </w:rPr>
              <w:t xml:space="preserve">Independent </w:t>
            </w:r>
            <w:r w:rsidRPr="00A86FB7">
              <w:rPr>
                <w:rFonts w:ascii="Calibri" w:eastAsia="Calibri" w:hAnsi="Calibri" w:cs="Arial"/>
                <w:sz w:val="18"/>
                <w:szCs w:val="18"/>
              </w:rPr>
              <w:t>Non-Executive Directors</w:t>
            </w:r>
          </w:p>
          <w:p w14:paraId="293433BF" w14:textId="77777777" w:rsidR="00AE253B" w:rsidRPr="00A86FB7"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LAML COO and Head of Legal (Secretary)</w:t>
            </w:r>
          </w:p>
          <w:p w14:paraId="52B1EDF1"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LAML Business Heads</w:t>
            </w:r>
          </w:p>
          <w:p w14:paraId="0F02224D" w14:textId="77777777" w:rsidR="00AE253B" w:rsidRPr="00A86FB7" w:rsidRDefault="00AE253B" w:rsidP="00AD0A78">
            <w:pPr>
              <w:spacing w:after="0"/>
              <w:ind w:left="0"/>
              <w:jc w:val="left"/>
              <w:rPr>
                <w:rFonts w:ascii="Calibri" w:eastAsia="Calibri" w:hAnsi="Calibri" w:cs="Arial"/>
                <w:sz w:val="18"/>
                <w:szCs w:val="18"/>
              </w:rPr>
            </w:pPr>
          </w:p>
        </w:tc>
        <w:tc>
          <w:tcPr>
            <w:tcW w:w="2157" w:type="dxa"/>
          </w:tcPr>
          <w:p w14:paraId="5FEA9F17"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Quarterly as standard, with ad hoc meetings as required</w:t>
            </w:r>
          </w:p>
        </w:tc>
      </w:tr>
      <w:tr w:rsidR="00AE253B" w:rsidRPr="006A4AE3" w14:paraId="479C122A" w14:textId="77777777" w:rsidTr="00AD0A78">
        <w:tc>
          <w:tcPr>
            <w:tcW w:w="2092" w:type="dxa"/>
          </w:tcPr>
          <w:p w14:paraId="04B08E05"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L</w:t>
            </w:r>
            <w:r>
              <w:rPr>
                <w:rFonts w:ascii="Calibri" w:eastAsia="Calibri" w:hAnsi="Calibri" w:cs="Calibri"/>
                <w:sz w:val="18"/>
                <w:szCs w:val="18"/>
              </w:rPr>
              <w:t>azard</w:t>
            </w:r>
            <w:r w:rsidRPr="006A4AE3">
              <w:rPr>
                <w:rFonts w:ascii="Calibri" w:eastAsia="Calibri" w:hAnsi="Calibri" w:cs="Calibri"/>
                <w:sz w:val="18"/>
                <w:szCs w:val="18"/>
              </w:rPr>
              <w:t xml:space="preserve"> Operational Risk Committee (“LORC”)</w:t>
            </w:r>
          </w:p>
          <w:p w14:paraId="0444FD88"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(LAML Group Committee)</w:t>
            </w:r>
          </w:p>
        </w:tc>
        <w:tc>
          <w:tcPr>
            <w:tcW w:w="2723" w:type="dxa"/>
          </w:tcPr>
          <w:p w14:paraId="65BF0838"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The LORC is responsible for monitoring and oversight of all existing, (known) risks and emerging risk.  Reporting packs are prepared in advance of each meeting and minutes record each session and outstanding actions.</w:t>
            </w:r>
          </w:p>
          <w:p w14:paraId="6CAB46ED"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The LORC is responsible for LAML Group’s ICARA.</w:t>
            </w:r>
          </w:p>
        </w:tc>
        <w:tc>
          <w:tcPr>
            <w:tcW w:w="2693" w:type="dxa"/>
          </w:tcPr>
          <w:p w14:paraId="01CCD23C" w14:textId="77777777" w:rsidR="00AE253B" w:rsidRPr="00A86FB7"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 xml:space="preserve">LAML COO and Head of Legal </w:t>
            </w:r>
          </w:p>
          <w:p w14:paraId="29A9FD13" w14:textId="77777777" w:rsidR="00AE253B" w:rsidRPr="00A86FB7"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Global Head of Technology &amp; Operations</w:t>
            </w:r>
          </w:p>
          <w:p w14:paraId="795E7AFF"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LAML Head of Finance</w:t>
            </w:r>
          </w:p>
          <w:p w14:paraId="38A18937"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LFMI Head of Operations</w:t>
            </w:r>
          </w:p>
          <w:p w14:paraId="2819D122" w14:textId="77777777" w:rsidR="00AE253B"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 LLC Head of Information Security</w:t>
            </w:r>
          </w:p>
          <w:p w14:paraId="0178CA24" w14:textId="77777777" w:rsidR="00AE253B" w:rsidRPr="00A86FB7" w:rsidRDefault="00AE253B" w:rsidP="00AD0A78">
            <w:pPr>
              <w:spacing w:after="0"/>
              <w:ind w:left="0"/>
              <w:jc w:val="left"/>
              <w:rPr>
                <w:rFonts w:ascii="Calibri" w:eastAsia="Calibri" w:hAnsi="Calibri" w:cs="Arial"/>
                <w:sz w:val="18"/>
                <w:szCs w:val="18"/>
              </w:rPr>
            </w:pPr>
            <w:r>
              <w:rPr>
                <w:rFonts w:ascii="Calibri" w:eastAsia="Calibri" w:hAnsi="Calibri" w:cs="Arial"/>
                <w:sz w:val="18"/>
                <w:szCs w:val="18"/>
              </w:rPr>
              <w:t xml:space="preserve">LAM Internal Audit </w:t>
            </w:r>
          </w:p>
          <w:p w14:paraId="11EF70D1"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Relevant Business Heads</w:t>
            </w:r>
          </w:p>
          <w:p w14:paraId="29C7BC13" w14:textId="77777777" w:rsidR="00AE253B" w:rsidRPr="00A86FB7" w:rsidRDefault="00AE253B" w:rsidP="00AD0A78">
            <w:pPr>
              <w:spacing w:after="0"/>
              <w:ind w:left="0"/>
              <w:jc w:val="left"/>
              <w:rPr>
                <w:rFonts w:ascii="Calibri" w:eastAsia="Calibri" w:hAnsi="Calibri" w:cs="Arial"/>
                <w:sz w:val="18"/>
                <w:szCs w:val="18"/>
              </w:rPr>
            </w:pPr>
          </w:p>
        </w:tc>
        <w:tc>
          <w:tcPr>
            <w:tcW w:w="2157" w:type="dxa"/>
          </w:tcPr>
          <w:p w14:paraId="6E86E214"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Quarterly as standard, with ad hoc meetings as required</w:t>
            </w:r>
          </w:p>
        </w:tc>
      </w:tr>
      <w:tr w:rsidR="00AE253B" w:rsidRPr="006A4AE3" w14:paraId="78FA100E" w14:textId="77777777" w:rsidTr="00AD0A78">
        <w:tc>
          <w:tcPr>
            <w:tcW w:w="2092" w:type="dxa"/>
          </w:tcPr>
          <w:p w14:paraId="49719EE9"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L</w:t>
            </w:r>
            <w:r>
              <w:rPr>
                <w:rFonts w:ascii="Calibri" w:eastAsia="Calibri" w:hAnsi="Calibri" w:cs="Calibri"/>
                <w:sz w:val="18"/>
                <w:szCs w:val="18"/>
              </w:rPr>
              <w:t>azard</w:t>
            </w:r>
            <w:r w:rsidRPr="006A4AE3">
              <w:rPr>
                <w:rFonts w:ascii="Calibri" w:eastAsia="Calibri" w:hAnsi="Calibri" w:cs="Calibri"/>
                <w:sz w:val="18"/>
                <w:szCs w:val="18"/>
              </w:rPr>
              <w:t xml:space="preserve"> Outsourcing Steering Committee (“LOSC”)</w:t>
            </w:r>
          </w:p>
          <w:p w14:paraId="26EA3FB1"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(LAML Group Committee)</w:t>
            </w:r>
          </w:p>
          <w:p w14:paraId="039A2420" w14:textId="77777777" w:rsidR="00AE253B" w:rsidRPr="006A4AE3" w:rsidRDefault="00AE253B" w:rsidP="00AD0A78">
            <w:pPr>
              <w:ind w:left="0"/>
              <w:jc w:val="left"/>
              <w:rPr>
                <w:rFonts w:ascii="Calibri" w:eastAsia="Calibri" w:hAnsi="Calibri" w:cs="Calibri"/>
                <w:sz w:val="18"/>
                <w:szCs w:val="18"/>
              </w:rPr>
            </w:pPr>
          </w:p>
        </w:tc>
        <w:tc>
          <w:tcPr>
            <w:tcW w:w="2723" w:type="dxa"/>
          </w:tcPr>
          <w:p w14:paraId="4B68834A"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The LOSC is a sub-committee of the Lazard Operational Risk Committee (“LORC”).</w:t>
            </w:r>
          </w:p>
          <w:p w14:paraId="03819969"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LOSC is responsible for governance and oversight of the outsourcing framework, which is designed to manage outsourcing risk as it relates to the LAML Group (and LFMI).</w:t>
            </w:r>
          </w:p>
        </w:tc>
        <w:tc>
          <w:tcPr>
            <w:tcW w:w="2693" w:type="dxa"/>
          </w:tcPr>
          <w:p w14:paraId="1DE6F75C" w14:textId="77777777" w:rsidR="00AE253B" w:rsidRPr="00A86FB7"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 xml:space="preserve">LAML COO and Head of Legal </w:t>
            </w:r>
          </w:p>
          <w:p w14:paraId="40AC5053"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 LLC Operations</w:t>
            </w:r>
          </w:p>
          <w:p w14:paraId="2D925A11"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LFMI Head of Operations</w:t>
            </w:r>
          </w:p>
          <w:p w14:paraId="629616D0"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LFM Operations</w:t>
            </w:r>
          </w:p>
          <w:p w14:paraId="32F62532"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LAML Operations</w:t>
            </w:r>
          </w:p>
          <w:p w14:paraId="27FDBDC4" w14:textId="77777777" w:rsidR="00AE253B" w:rsidRPr="00A86FB7" w:rsidRDefault="00AE253B" w:rsidP="00AD0A78">
            <w:pPr>
              <w:spacing w:after="0"/>
              <w:ind w:left="0"/>
              <w:jc w:val="left"/>
              <w:rPr>
                <w:rFonts w:ascii="Calibri" w:eastAsia="Calibri" w:hAnsi="Calibri" w:cs="Arial"/>
                <w:sz w:val="18"/>
                <w:szCs w:val="18"/>
              </w:rPr>
            </w:pPr>
          </w:p>
        </w:tc>
        <w:tc>
          <w:tcPr>
            <w:tcW w:w="2157" w:type="dxa"/>
          </w:tcPr>
          <w:p w14:paraId="4C65D06F" w14:textId="77777777" w:rsidR="00AE253B" w:rsidRPr="006A4AE3" w:rsidRDefault="00AE253B" w:rsidP="00AD0A78">
            <w:pPr>
              <w:ind w:left="0"/>
              <w:jc w:val="left"/>
              <w:rPr>
                <w:rFonts w:ascii="Calibri" w:eastAsia="MS Mincho" w:hAnsi="Calibri" w:cs="Arial"/>
                <w:sz w:val="18"/>
                <w:szCs w:val="18"/>
              </w:rPr>
            </w:pPr>
            <w:r w:rsidRPr="006A4AE3">
              <w:rPr>
                <w:rFonts w:ascii="Calibri" w:eastAsia="Calibri" w:hAnsi="Calibri" w:cs="Arial"/>
                <w:sz w:val="18"/>
                <w:szCs w:val="18"/>
              </w:rPr>
              <w:t>Quarterly as standard, with ad hoc meetings as required</w:t>
            </w:r>
          </w:p>
        </w:tc>
      </w:tr>
      <w:tr w:rsidR="00AE253B" w:rsidRPr="006A4AE3" w14:paraId="1587D77F" w14:textId="77777777" w:rsidTr="00AD0A78">
        <w:tc>
          <w:tcPr>
            <w:tcW w:w="2092" w:type="dxa"/>
          </w:tcPr>
          <w:p w14:paraId="2C46F235"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 xml:space="preserve">London Operating Committee (“LOC”) </w:t>
            </w:r>
          </w:p>
          <w:p w14:paraId="38C69E51" w14:textId="77777777" w:rsidR="00AE253B" w:rsidRPr="006A4AE3" w:rsidRDefault="00AE253B" w:rsidP="00AD0A78">
            <w:pPr>
              <w:ind w:left="0"/>
              <w:jc w:val="left"/>
              <w:rPr>
                <w:rFonts w:ascii="Calibri" w:eastAsia="Calibri" w:hAnsi="Calibri" w:cs="Calibri"/>
                <w:sz w:val="18"/>
                <w:szCs w:val="18"/>
              </w:rPr>
            </w:pPr>
          </w:p>
          <w:p w14:paraId="36B452B5" w14:textId="77777777" w:rsidR="00AE253B" w:rsidRPr="006A4AE3" w:rsidRDefault="00AE253B" w:rsidP="00AD0A78">
            <w:pPr>
              <w:ind w:left="0"/>
              <w:jc w:val="left"/>
              <w:rPr>
                <w:rFonts w:ascii="Calibri" w:eastAsia="MS Mincho" w:hAnsi="Calibri" w:cs="Arial"/>
                <w:sz w:val="18"/>
                <w:szCs w:val="18"/>
              </w:rPr>
            </w:pPr>
          </w:p>
        </w:tc>
        <w:tc>
          <w:tcPr>
            <w:tcW w:w="2723" w:type="dxa"/>
          </w:tcPr>
          <w:p w14:paraId="3ED5B5F5"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The LOC reviews all aspects of the LAML and LFM business. Business heads produce reports.  Reporting packs are prepared in advance of each meeting and minutes record each session and outstanding actions.</w:t>
            </w:r>
          </w:p>
        </w:tc>
        <w:tc>
          <w:tcPr>
            <w:tcW w:w="2693" w:type="dxa"/>
          </w:tcPr>
          <w:p w14:paraId="27B2476E"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LAML CEO</w:t>
            </w:r>
          </w:p>
          <w:p w14:paraId="7D6B0F1D"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LAML Business Heads</w:t>
            </w:r>
          </w:p>
          <w:p w14:paraId="0F2FC8AB" w14:textId="77777777" w:rsidR="00AE253B" w:rsidRPr="00A86FB7" w:rsidRDefault="00AE253B" w:rsidP="00AD0A78">
            <w:pPr>
              <w:spacing w:after="0"/>
              <w:ind w:left="0"/>
              <w:jc w:val="left"/>
              <w:rPr>
                <w:rFonts w:ascii="Calibri" w:eastAsia="Calibri" w:hAnsi="Calibri" w:cs="Arial"/>
                <w:sz w:val="18"/>
                <w:szCs w:val="18"/>
              </w:rPr>
            </w:pPr>
          </w:p>
        </w:tc>
        <w:tc>
          <w:tcPr>
            <w:tcW w:w="2157" w:type="dxa"/>
          </w:tcPr>
          <w:p w14:paraId="373208C9"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Quarterly as standard, with ad hoc meetings as required</w:t>
            </w:r>
          </w:p>
        </w:tc>
      </w:tr>
      <w:tr w:rsidR="00AE253B" w:rsidRPr="006A4AE3" w14:paraId="3A50066F" w14:textId="77777777" w:rsidTr="00AD0A78">
        <w:tc>
          <w:tcPr>
            <w:tcW w:w="2092" w:type="dxa"/>
          </w:tcPr>
          <w:p w14:paraId="1762D9C3"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The Brokerage Committee</w:t>
            </w:r>
          </w:p>
          <w:p w14:paraId="4648D146"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(Global Committee)</w:t>
            </w:r>
          </w:p>
        </w:tc>
        <w:tc>
          <w:tcPr>
            <w:tcW w:w="2723" w:type="dxa"/>
          </w:tcPr>
          <w:p w14:paraId="7291568C"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Responsible for monitoring all issues relating to trading and commissions.</w:t>
            </w:r>
          </w:p>
          <w:p w14:paraId="4CB23D2F"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NB: in relation to LAML Group dealing, there is now a split between Governance of the Broker Panel and the Research Panel. Dealing Commission/soft dollar arrangements no longer apply to LAML Group trades.</w:t>
            </w:r>
          </w:p>
          <w:p w14:paraId="6CE20585" w14:textId="77777777" w:rsidR="00AE253B" w:rsidRPr="006A4AE3" w:rsidRDefault="00AE253B" w:rsidP="00AD0A78">
            <w:pPr>
              <w:ind w:left="0"/>
              <w:jc w:val="left"/>
              <w:rPr>
                <w:rFonts w:ascii="Calibri" w:eastAsia="Calibri" w:hAnsi="Calibri" w:cs="Calibri"/>
                <w:sz w:val="18"/>
                <w:szCs w:val="18"/>
              </w:rPr>
            </w:pPr>
          </w:p>
        </w:tc>
        <w:tc>
          <w:tcPr>
            <w:tcW w:w="2693" w:type="dxa"/>
          </w:tcPr>
          <w:p w14:paraId="35FAAA2A"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 LLC Global COO</w:t>
            </w:r>
          </w:p>
          <w:p w14:paraId="6C5EE7FE"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 xml:space="preserve">LAM LLC </w:t>
            </w:r>
            <w:r>
              <w:rPr>
                <w:rFonts w:ascii="Calibri" w:eastAsia="Calibri" w:hAnsi="Calibri" w:cs="Arial"/>
                <w:sz w:val="18"/>
                <w:szCs w:val="18"/>
              </w:rPr>
              <w:t xml:space="preserve">General Counsel </w:t>
            </w:r>
          </w:p>
          <w:p w14:paraId="0FF6FA35" w14:textId="77777777" w:rsidR="00AE253B" w:rsidRPr="00A86FB7" w:rsidRDefault="00AE253B" w:rsidP="00AD0A78">
            <w:pPr>
              <w:spacing w:after="0"/>
              <w:ind w:left="0"/>
              <w:jc w:val="left"/>
              <w:rPr>
                <w:rFonts w:ascii="Calibri" w:eastAsia="Calibri" w:hAnsi="Calibri" w:cs="Arial"/>
                <w:sz w:val="18"/>
                <w:szCs w:val="18"/>
              </w:rPr>
            </w:pPr>
          </w:p>
          <w:p w14:paraId="10E96B58"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Representatives from Trading, Portfolio Management, Compliance and Operations</w:t>
            </w:r>
          </w:p>
          <w:p w14:paraId="65C7C943" w14:textId="77777777" w:rsidR="00AE253B" w:rsidRPr="00A86FB7" w:rsidRDefault="00AE253B" w:rsidP="00AD0A78">
            <w:pPr>
              <w:spacing w:after="0"/>
              <w:ind w:left="0"/>
              <w:jc w:val="left"/>
              <w:rPr>
                <w:rFonts w:ascii="Calibri" w:eastAsia="Calibri" w:hAnsi="Calibri" w:cs="Arial"/>
                <w:sz w:val="18"/>
                <w:szCs w:val="18"/>
              </w:rPr>
            </w:pPr>
          </w:p>
        </w:tc>
        <w:tc>
          <w:tcPr>
            <w:tcW w:w="2157" w:type="dxa"/>
          </w:tcPr>
          <w:p w14:paraId="3C80F551"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Quarterly or as required</w:t>
            </w:r>
          </w:p>
        </w:tc>
      </w:tr>
      <w:tr w:rsidR="00AE253B" w:rsidRPr="006A4AE3" w14:paraId="321A63FF" w14:textId="77777777" w:rsidTr="00AD0A78">
        <w:tc>
          <w:tcPr>
            <w:tcW w:w="2092" w:type="dxa"/>
          </w:tcPr>
          <w:p w14:paraId="2B139A48"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lastRenderedPageBreak/>
              <w:t>The Counterparty Risk Committee</w:t>
            </w:r>
          </w:p>
          <w:p w14:paraId="2A127A59"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(Global Committee)</w:t>
            </w:r>
          </w:p>
        </w:tc>
        <w:tc>
          <w:tcPr>
            <w:tcW w:w="2723" w:type="dxa"/>
          </w:tcPr>
          <w:p w14:paraId="21EC7908"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Tasked with the responsibility of monitoring counterparty risk, including the global approved broker list</w:t>
            </w:r>
          </w:p>
        </w:tc>
        <w:tc>
          <w:tcPr>
            <w:tcW w:w="2693" w:type="dxa"/>
          </w:tcPr>
          <w:p w14:paraId="07EBF370"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 LLC Global COO</w:t>
            </w:r>
          </w:p>
          <w:p w14:paraId="01E6C6C4"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 xml:space="preserve">LAML COO and Head of Legal </w:t>
            </w:r>
          </w:p>
          <w:p w14:paraId="0D63EDBA"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Representatives from Trading, Compliance and Operations</w:t>
            </w:r>
          </w:p>
          <w:p w14:paraId="4DA3A59B" w14:textId="77777777" w:rsidR="00AE253B" w:rsidRPr="00A86FB7" w:rsidRDefault="00AE253B" w:rsidP="00AD0A78">
            <w:pPr>
              <w:spacing w:after="0"/>
              <w:ind w:left="0"/>
              <w:jc w:val="left"/>
              <w:rPr>
                <w:rFonts w:ascii="Calibri" w:eastAsia="Calibri" w:hAnsi="Calibri" w:cs="Arial"/>
                <w:sz w:val="18"/>
                <w:szCs w:val="18"/>
              </w:rPr>
            </w:pPr>
          </w:p>
        </w:tc>
        <w:tc>
          <w:tcPr>
            <w:tcW w:w="2157" w:type="dxa"/>
          </w:tcPr>
          <w:p w14:paraId="1A14FC29"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Quarterly or as required</w:t>
            </w:r>
          </w:p>
        </w:tc>
      </w:tr>
      <w:tr w:rsidR="00AE253B" w:rsidRPr="006A4AE3" w14:paraId="226A4FAA" w14:textId="77777777" w:rsidTr="00AD0A78">
        <w:tc>
          <w:tcPr>
            <w:tcW w:w="2092" w:type="dxa"/>
          </w:tcPr>
          <w:p w14:paraId="397B02D5"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Compensation Committee</w:t>
            </w:r>
          </w:p>
          <w:p w14:paraId="3F286D03"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(Global Committee)</w:t>
            </w:r>
          </w:p>
        </w:tc>
        <w:tc>
          <w:tcPr>
            <w:tcW w:w="2723" w:type="dxa"/>
          </w:tcPr>
          <w:p w14:paraId="0CEAD872"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The Lazard Group Compensation Committee is responsible for defining and implementing LAM Compensation Policy globally that requires employees to be incentivised in a manner that complies with industry best practices. Local HR &amp; Compliance teams feed in any local regulatory requirements, such as FCA rules</w:t>
            </w:r>
          </w:p>
        </w:tc>
        <w:tc>
          <w:tcPr>
            <w:tcW w:w="2693" w:type="dxa"/>
          </w:tcPr>
          <w:p w14:paraId="287E446A"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Lazard NEDs</w:t>
            </w:r>
          </w:p>
          <w:p w14:paraId="0F13566D"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Lazard CEO</w:t>
            </w:r>
          </w:p>
          <w:p w14:paraId="73E744BF"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Lazard HR</w:t>
            </w:r>
          </w:p>
        </w:tc>
        <w:tc>
          <w:tcPr>
            <w:tcW w:w="2157" w:type="dxa"/>
          </w:tcPr>
          <w:p w14:paraId="0A455996" w14:textId="77777777" w:rsidR="00AE253B" w:rsidRPr="006A4AE3" w:rsidRDefault="00AE253B" w:rsidP="00AD0A78">
            <w:pPr>
              <w:ind w:left="0"/>
              <w:jc w:val="left"/>
              <w:rPr>
                <w:rFonts w:ascii="Calibri" w:eastAsia="Calibri" w:hAnsi="Calibri" w:cs="Calibri"/>
                <w:sz w:val="18"/>
                <w:szCs w:val="18"/>
              </w:rPr>
            </w:pPr>
          </w:p>
          <w:p w14:paraId="218A8F42" w14:textId="77777777" w:rsidR="00AE253B" w:rsidRPr="006A4AE3" w:rsidRDefault="00AE253B" w:rsidP="00AD0A78">
            <w:pPr>
              <w:ind w:left="0"/>
              <w:jc w:val="left"/>
              <w:rPr>
                <w:rFonts w:ascii="Calibri" w:eastAsia="Calibri" w:hAnsi="Calibri" w:cs="Calibri"/>
                <w:sz w:val="18"/>
                <w:szCs w:val="18"/>
              </w:rPr>
            </w:pPr>
          </w:p>
          <w:p w14:paraId="5BA6A08E"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Meets as often as required before year-end.</w:t>
            </w:r>
          </w:p>
        </w:tc>
      </w:tr>
      <w:tr w:rsidR="00AE253B" w:rsidRPr="006A4AE3" w14:paraId="683E9CE5" w14:textId="77777777" w:rsidTr="00AD0A78">
        <w:tc>
          <w:tcPr>
            <w:tcW w:w="2092" w:type="dxa"/>
          </w:tcPr>
          <w:p w14:paraId="637EEBB2"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Compliance Committee</w:t>
            </w:r>
          </w:p>
          <w:p w14:paraId="1724FBAF"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(Global Committee)</w:t>
            </w:r>
          </w:p>
        </w:tc>
        <w:tc>
          <w:tcPr>
            <w:tcW w:w="2723" w:type="dxa"/>
          </w:tcPr>
          <w:p w14:paraId="00D83142"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The Compliance Committee provides a forum for the consideration of various compliance and regulatory issues affecting the firm.</w:t>
            </w:r>
          </w:p>
        </w:tc>
        <w:tc>
          <w:tcPr>
            <w:tcW w:w="2693" w:type="dxa"/>
          </w:tcPr>
          <w:p w14:paraId="00E66BCD"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 LLC CEO</w:t>
            </w:r>
          </w:p>
          <w:p w14:paraId="22C23B24" w14:textId="77777777" w:rsidR="00AE253B" w:rsidRPr="00A86FB7"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Chief Operating Officer</w:t>
            </w:r>
          </w:p>
          <w:p w14:paraId="1063A4BD" w14:textId="77777777" w:rsidR="00AE253B" w:rsidRDefault="00AE253B" w:rsidP="00AD0A78">
            <w:pPr>
              <w:spacing w:after="0"/>
              <w:ind w:left="0"/>
              <w:jc w:val="left"/>
              <w:rPr>
                <w:rFonts w:ascii="Calibri" w:eastAsia="Calibri" w:hAnsi="Calibri" w:cs="Arial"/>
                <w:sz w:val="18"/>
                <w:szCs w:val="18"/>
              </w:rPr>
            </w:pPr>
            <w:r>
              <w:rPr>
                <w:rFonts w:ascii="Calibri" w:eastAsia="Calibri" w:hAnsi="Calibri" w:cs="Arial"/>
                <w:sz w:val="18"/>
                <w:szCs w:val="18"/>
              </w:rPr>
              <w:t xml:space="preserve">LAM LLC </w:t>
            </w:r>
            <w:r w:rsidRPr="00A86FB7">
              <w:rPr>
                <w:rFonts w:ascii="Calibri" w:eastAsia="Calibri" w:hAnsi="Calibri" w:cs="Arial"/>
                <w:sz w:val="18"/>
                <w:szCs w:val="18"/>
              </w:rPr>
              <w:t xml:space="preserve">General Counsel </w:t>
            </w:r>
          </w:p>
          <w:p w14:paraId="59B3AAE2" w14:textId="77777777" w:rsidR="00AE253B" w:rsidRPr="00A86FB7" w:rsidRDefault="00AE253B" w:rsidP="00AD0A78">
            <w:pPr>
              <w:spacing w:after="0"/>
              <w:ind w:left="0"/>
              <w:jc w:val="left"/>
              <w:rPr>
                <w:rFonts w:ascii="Calibri" w:eastAsia="Calibri" w:hAnsi="Calibri" w:cs="Arial"/>
                <w:sz w:val="18"/>
                <w:szCs w:val="18"/>
              </w:rPr>
            </w:pPr>
            <w:r>
              <w:rPr>
                <w:rFonts w:ascii="Calibri" w:eastAsia="Calibri" w:hAnsi="Calibri" w:cs="Arial"/>
                <w:sz w:val="18"/>
                <w:szCs w:val="18"/>
              </w:rPr>
              <w:t xml:space="preserve">LAM LLC </w:t>
            </w:r>
            <w:r w:rsidRPr="00A86FB7">
              <w:rPr>
                <w:rFonts w:ascii="Calibri" w:eastAsia="Calibri" w:hAnsi="Calibri" w:cs="Arial"/>
                <w:sz w:val="18"/>
                <w:szCs w:val="18"/>
              </w:rPr>
              <w:t>Chief Compliance Officer</w:t>
            </w:r>
          </w:p>
          <w:p w14:paraId="5CAF757B" w14:textId="77777777" w:rsidR="00AE253B" w:rsidRPr="00A86FB7" w:rsidRDefault="00AE253B" w:rsidP="00AD0A78">
            <w:pPr>
              <w:spacing w:after="0"/>
              <w:ind w:left="0"/>
              <w:jc w:val="left"/>
              <w:rPr>
                <w:rFonts w:ascii="Calibri" w:eastAsia="Calibri" w:hAnsi="Calibri" w:cs="Arial"/>
                <w:sz w:val="18"/>
                <w:szCs w:val="18"/>
              </w:rPr>
            </w:pPr>
            <w:r>
              <w:rPr>
                <w:rFonts w:ascii="Calibri" w:eastAsia="Calibri" w:hAnsi="Calibri" w:cs="Arial"/>
                <w:sz w:val="18"/>
                <w:szCs w:val="18"/>
              </w:rPr>
              <w:t xml:space="preserve">LAM LLC </w:t>
            </w:r>
            <w:r w:rsidRPr="006A4AE3">
              <w:rPr>
                <w:rFonts w:ascii="Calibri" w:eastAsia="Calibri" w:hAnsi="Calibri" w:cs="Arial"/>
                <w:sz w:val="18"/>
                <w:szCs w:val="18"/>
              </w:rPr>
              <w:t xml:space="preserve">Global Head of Technology &amp; Operations </w:t>
            </w:r>
          </w:p>
          <w:p w14:paraId="523ADBE1"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Senior representatives from regional offices</w:t>
            </w:r>
          </w:p>
          <w:p w14:paraId="37122BAB" w14:textId="77777777" w:rsidR="00AE253B" w:rsidRPr="00A86FB7" w:rsidRDefault="00AE253B" w:rsidP="00AD0A78">
            <w:pPr>
              <w:spacing w:after="0"/>
              <w:ind w:left="0"/>
              <w:jc w:val="left"/>
              <w:rPr>
                <w:rFonts w:ascii="Calibri" w:eastAsia="Calibri" w:hAnsi="Calibri" w:cs="Arial"/>
                <w:sz w:val="18"/>
                <w:szCs w:val="18"/>
              </w:rPr>
            </w:pPr>
          </w:p>
        </w:tc>
        <w:tc>
          <w:tcPr>
            <w:tcW w:w="2157" w:type="dxa"/>
          </w:tcPr>
          <w:p w14:paraId="4F220C4C"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Quarterly or as required</w:t>
            </w:r>
          </w:p>
        </w:tc>
      </w:tr>
      <w:tr w:rsidR="00AE253B" w:rsidRPr="006A4AE3" w14:paraId="1638E769" w14:textId="77777777" w:rsidTr="00AD0A78">
        <w:tc>
          <w:tcPr>
            <w:tcW w:w="2092" w:type="dxa"/>
          </w:tcPr>
          <w:p w14:paraId="4515DC80"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Fair Valuation Committee (“FVC”)</w:t>
            </w:r>
          </w:p>
          <w:p w14:paraId="72B8F622"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(LAML Group Committee)</w:t>
            </w:r>
          </w:p>
          <w:p w14:paraId="3CC77C2D" w14:textId="77777777" w:rsidR="00AE253B" w:rsidRPr="006A4AE3" w:rsidRDefault="00AE253B" w:rsidP="00AD0A78">
            <w:pPr>
              <w:ind w:left="0"/>
              <w:jc w:val="left"/>
              <w:rPr>
                <w:rFonts w:ascii="Calibri" w:eastAsia="Calibri" w:hAnsi="Calibri" w:cs="Calibri"/>
                <w:sz w:val="18"/>
                <w:szCs w:val="18"/>
              </w:rPr>
            </w:pPr>
          </w:p>
        </w:tc>
        <w:tc>
          <w:tcPr>
            <w:tcW w:w="2723" w:type="dxa"/>
          </w:tcPr>
          <w:p w14:paraId="4BF38DB5"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 xml:space="preserve">Responsible for reacting to circumstances where either individual securities or market turmoil events prevent assets being valued using third party pricing vendor data.  Coordinates decisions with other LAM offices </w:t>
            </w:r>
          </w:p>
        </w:tc>
        <w:tc>
          <w:tcPr>
            <w:tcW w:w="2693" w:type="dxa"/>
          </w:tcPr>
          <w:p w14:paraId="59903DE8" w14:textId="77777777" w:rsidR="00AE253B" w:rsidRPr="006A4AE3" w:rsidRDefault="00AE253B" w:rsidP="00AD0A78">
            <w:pPr>
              <w:spacing w:after="0"/>
              <w:ind w:left="0"/>
              <w:jc w:val="left"/>
              <w:rPr>
                <w:rFonts w:ascii="Calibri" w:eastAsia="Calibri" w:hAnsi="Calibri" w:cs="Arial"/>
                <w:sz w:val="18"/>
                <w:szCs w:val="18"/>
              </w:rPr>
            </w:pPr>
          </w:p>
          <w:p w14:paraId="0DA3CF5E"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LFMI Head of Operations</w:t>
            </w:r>
          </w:p>
          <w:p w14:paraId="6056F3B5" w14:textId="77777777" w:rsidR="00AE253B" w:rsidRPr="00A86FB7"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 xml:space="preserve">LAML COO and Head of Legal </w:t>
            </w:r>
          </w:p>
          <w:p w14:paraId="02D04731"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Representatives from Compliance and operations</w:t>
            </w:r>
          </w:p>
          <w:p w14:paraId="0B47CD83" w14:textId="77777777" w:rsidR="00AE253B" w:rsidRPr="00A86FB7" w:rsidRDefault="00AE253B" w:rsidP="00AD0A78">
            <w:pPr>
              <w:spacing w:after="0"/>
              <w:ind w:left="0"/>
              <w:jc w:val="left"/>
              <w:rPr>
                <w:rFonts w:ascii="Calibri" w:eastAsia="Calibri" w:hAnsi="Calibri" w:cs="Arial"/>
                <w:sz w:val="18"/>
                <w:szCs w:val="18"/>
              </w:rPr>
            </w:pPr>
          </w:p>
        </w:tc>
        <w:tc>
          <w:tcPr>
            <w:tcW w:w="2157" w:type="dxa"/>
          </w:tcPr>
          <w:p w14:paraId="5CA3E299"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As required</w:t>
            </w:r>
          </w:p>
        </w:tc>
      </w:tr>
      <w:tr w:rsidR="00AE253B" w:rsidRPr="006A4AE3" w14:paraId="780ABD1D" w14:textId="77777777" w:rsidTr="00AD0A78">
        <w:tc>
          <w:tcPr>
            <w:tcW w:w="2092" w:type="dxa"/>
          </w:tcPr>
          <w:p w14:paraId="2012578D"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CASS Committee (“</w:t>
            </w:r>
            <w:proofErr w:type="spellStart"/>
            <w:r w:rsidRPr="006A4AE3">
              <w:rPr>
                <w:rFonts w:ascii="Calibri" w:eastAsia="Calibri" w:hAnsi="Calibri" w:cs="Calibri"/>
                <w:sz w:val="18"/>
                <w:szCs w:val="18"/>
              </w:rPr>
              <w:t>CASSCo</w:t>
            </w:r>
            <w:proofErr w:type="spellEnd"/>
            <w:r w:rsidRPr="006A4AE3">
              <w:rPr>
                <w:rFonts w:ascii="Calibri" w:eastAsia="Calibri" w:hAnsi="Calibri" w:cs="Calibri"/>
                <w:sz w:val="18"/>
                <w:szCs w:val="18"/>
              </w:rPr>
              <w:t>”)</w:t>
            </w:r>
          </w:p>
          <w:p w14:paraId="7AB57CBC"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(LAML Group Committee)</w:t>
            </w:r>
          </w:p>
        </w:tc>
        <w:tc>
          <w:tcPr>
            <w:tcW w:w="2723" w:type="dxa"/>
          </w:tcPr>
          <w:p w14:paraId="1F7F2133"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The purpose of this Committee is to help LAML Group ensure that it meets its regulatory obligations with respect to the protection of any client assets and client money that it may hold or have within its control from time to time.</w:t>
            </w:r>
          </w:p>
        </w:tc>
        <w:tc>
          <w:tcPr>
            <w:tcW w:w="2693" w:type="dxa"/>
          </w:tcPr>
          <w:p w14:paraId="6B296064" w14:textId="77777777" w:rsidR="00AE253B" w:rsidRPr="00A86FB7"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 xml:space="preserve">LAML COO and Head of Legal </w:t>
            </w:r>
          </w:p>
          <w:p w14:paraId="2D63C561" w14:textId="77777777" w:rsidR="00AE253B" w:rsidRPr="00A86FB7"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LAML Operations</w:t>
            </w:r>
          </w:p>
          <w:p w14:paraId="6797E730"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 xml:space="preserve">LAML Compliance </w:t>
            </w:r>
          </w:p>
          <w:p w14:paraId="498D0B2E" w14:textId="77777777" w:rsidR="00AE253B" w:rsidRPr="00A86FB7" w:rsidRDefault="00AE253B" w:rsidP="00AD0A78">
            <w:pPr>
              <w:spacing w:after="0"/>
              <w:ind w:left="0"/>
              <w:jc w:val="left"/>
              <w:rPr>
                <w:rFonts w:ascii="Calibri" w:eastAsia="Calibri" w:hAnsi="Calibri" w:cs="Arial"/>
                <w:sz w:val="18"/>
                <w:szCs w:val="18"/>
              </w:rPr>
            </w:pPr>
          </w:p>
        </w:tc>
        <w:tc>
          <w:tcPr>
            <w:tcW w:w="2157" w:type="dxa"/>
          </w:tcPr>
          <w:p w14:paraId="42F2CF62"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Quarterly or as required.</w:t>
            </w:r>
          </w:p>
        </w:tc>
      </w:tr>
      <w:tr w:rsidR="00AE253B" w:rsidRPr="006A4AE3" w14:paraId="4FAA0CCB" w14:textId="77777777" w:rsidTr="00AD0A78">
        <w:tc>
          <w:tcPr>
            <w:tcW w:w="2092" w:type="dxa"/>
          </w:tcPr>
          <w:p w14:paraId="4F05EB8F"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Product Governance Committee (“PGC”)</w:t>
            </w:r>
          </w:p>
          <w:p w14:paraId="312AA7B0" w14:textId="77777777" w:rsidR="00AE253B" w:rsidRPr="006A4AE3" w:rsidRDefault="00AE253B" w:rsidP="00AD0A78">
            <w:pPr>
              <w:ind w:left="0"/>
              <w:jc w:val="left"/>
              <w:rPr>
                <w:rFonts w:ascii="Calibri" w:eastAsia="Calibri" w:hAnsi="Calibri" w:cs="Calibri"/>
                <w:sz w:val="18"/>
                <w:szCs w:val="18"/>
              </w:rPr>
            </w:pPr>
          </w:p>
          <w:p w14:paraId="4C6FE381"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(LAML Group Committee)</w:t>
            </w:r>
          </w:p>
        </w:tc>
        <w:tc>
          <w:tcPr>
            <w:tcW w:w="2723" w:type="dxa"/>
          </w:tcPr>
          <w:p w14:paraId="7B779A29"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The PGC is responsible for overseeing the design, target market identification and the distribution strategy of products and strategies that LAML, LFM and LFMI manufacture.</w:t>
            </w:r>
          </w:p>
        </w:tc>
        <w:tc>
          <w:tcPr>
            <w:tcW w:w="2693" w:type="dxa"/>
          </w:tcPr>
          <w:p w14:paraId="36620FFB" w14:textId="77777777" w:rsidR="00AE253B" w:rsidRPr="00A86FB7"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 xml:space="preserve">LAML COO and Head of Legal </w:t>
            </w:r>
          </w:p>
          <w:p w14:paraId="6B0BD80A"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Representatives from TPD, Institutions, Risk Management, Operations and Legal &amp; Compliance.</w:t>
            </w:r>
          </w:p>
          <w:p w14:paraId="406BD8E4" w14:textId="77777777" w:rsidR="00AE253B" w:rsidRPr="00A86FB7" w:rsidRDefault="00AE253B" w:rsidP="00AD0A78">
            <w:pPr>
              <w:spacing w:after="0"/>
              <w:ind w:left="0"/>
              <w:jc w:val="left"/>
              <w:rPr>
                <w:rFonts w:ascii="Calibri" w:eastAsia="Calibri" w:hAnsi="Calibri" w:cs="Arial"/>
                <w:sz w:val="18"/>
                <w:szCs w:val="18"/>
              </w:rPr>
            </w:pPr>
          </w:p>
        </w:tc>
        <w:tc>
          <w:tcPr>
            <w:tcW w:w="2157" w:type="dxa"/>
          </w:tcPr>
          <w:p w14:paraId="046C73FB"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Half-yearly and as required.</w:t>
            </w:r>
          </w:p>
        </w:tc>
      </w:tr>
      <w:tr w:rsidR="00AE253B" w:rsidRPr="006A4AE3" w14:paraId="4522635E" w14:textId="77777777" w:rsidTr="00AD0A78">
        <w:tc>
          <w:tcPr>
            <w:tcW w:w="2092" w:type="dxa"/>
          </w:tcPr>
          <w:p w14:paraId="49B9B2D1"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Best Execution Committee</w:t>
            </w:r>
          </w:p>
          <w:p w14:paraId="740DEB6B"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(LAML Group Committee)</w:t>
            </w:r>
          </w:p>
        </w:tc>
        <w:tc>
          <w:tcPr>
            <w:tcW w:w="2723" w:type="dxa"/>
          </w:tcPr>
          <w:p w14:paraId="550D4C80"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 xml:space="preserve">The Best Execution Committee is responsible for ensuring effective oversight and ongoing monitoring of best execution in respect of LAML trades, and adherence to </w:t>
            </w:r>
            <w:r w:rsidRPr="006A4AE3">
              <w:rPr>
                <w:rFonts w:ascii="Calibri" w:eastAsia="Calibri" w:hAnsi="Calibri" w:cs="Calibri"/>
                <w:sz w:val="18"/>
                <w:szCs w:val="18"/>
              </w:rPr>
              <w:lastRenderedPageBreak/>
              <w:t>LAML’s Best Execution and Order Management policies.</w:t>
            </w:r>
          </w:p>
        </w:tc>
        <w:tc>
          <w:tcPr>
            <w:tcW w:w="2693" w:type="dxa"/>
          </w:tcPr>
          <w:p w14:paraId="7A3CA23D"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lastRenderedPageBreak/>
              <w:t>LAML Compliance</w:t>
            </w:r>
          </w:p>
          <w:p w14:paraId="0328F2E7" w14:textId="77777777" w:rsidR="00AE253B" w:rsidRPr="00A86FB7" w:rsidDel="002444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LAML Trading</w:t>
            </w:r>
          </w:p>
        </w:tc>
        <w:tc>
          <w:tcPr>
            <w:tcW w:w="2157" w:type="dxa"/>
          </w:tcPr>
          <w:p w14:paraId="54FB3B65"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Quarterly or as required.</w:t>
            </w:r>
          </w:p>
        </w:tc>
      </w:tr>
      <w:tr w:rsidR="00AE253B" w:rsidRPr="006A4AE3" w14:paraId="7760BF5C" w14:textId="77777777" w:rsidTr="00AD0A78">
        <w:tc>
          <w:tcPr>
            <w:tcW w:w="2092" w:type="dxa"/>
          </w:tcPr>
          <w:p w14:paraId="534AD72D"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LAML Remuneration Committee</w:t>
            </w:r>
          </w:p>
          <w:p w14:paraId="792DC4DE"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(LAML Group Committee)</w:t>
            </w:r>
          </w:p>
        </w:tc>
        <w:tc>
          <w:tcPr>
            <w:tcW w:w="2723" w:type="dxa"/>
          </w:tcPr>
          <w:p w14:paraId="6BE66B96"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 xml:space="preserve">The purpose of this Committee is to ensure that the LAML Group promotes sound and effective risk management and good corporate governance such that employees are incentivised to act in ways that do not undermine this primary purpose.  </w:t>
            </w:r>
          </w:p>
        </w:tc>
        <w:tc>
          <w:tcPr>
            <w:tcW w:w="2693" w:type="dxa"/>
          </w:tcPr>
          <w:p w14:paraId="01BA4BE9" w14:textId="77777777" w:rsidR="00AE253B" w:rsidRPr="00A86FB7"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 xml:space="preserve">LAML COO and Head of Legal </w:t>
            </w:r>
          </w:p>
          <w:p w14:paraId="62FEEB34"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LAML Head of HR</w:t>
            </w:r>
          </w:p>
          <w:p w14:paraId="6892279F"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LAML CEO</w:t>
            </w:r>
          </w:p>
          <w:p w14:paraId="4A06E7A9"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LAML Head of Finance</w:t>
            </w:r>
          </w:p>
          <w:p w14:paraId="05F223A0" w14:textId="77777777" w:rsidR="00AE253B" w:rsidRPr="00A86FB7" w:rsidDel="002444B7" w:rsidRDefault="00AE253B" w:rsidP="00AD0A78">
            <w:pPr>
              <w:spacing w:after="0"/>
              <w:ind w:left="0"/>
              <w:jc w:val="left"/>
              <w:rPr>
                <w:rFonts w:ascii="Calibri" w:eastAsia="Calibri" w:hAnsi="Calibri" w:cs="Arial"/>
                <w:sz w:val="18"/>
                <w:szCs w:val="18"/>
              </w:rPr>
            </w:pPr>
          </w:p>
        </w:tc>
        <w:tc>
          <w:tcPr>
            <w:tcW w:w="2157" w:type="dxa"/>
          </w:tcPr>
          <w:p w14:paraId="354D73D0" w14:textId="77777777" w:rsidR="00AE253B" w:rsidRPr="006A4AE3" w:rsidRDefault="00AE253B" w:rsidP="00AD0A78">
            <w:pPr>
              <w:ind w:left="0"/>
              <w:jc w:val="left"/>
              <w:rPr>
                <w:rFonts w:ascii="Calibri" w:eastAsia="Calibri" w:hAnsi="Calibri" w:cs="Calibri"/>
                <w:sz w:val="18"/>
                <w:szCs w:val="18"/>
              </w:rPr>
            </w:pPr>
            <w:r>
              <w:rPr>
                <w:rFonts w:ascii="Calibri" w:eastAsia="Calibri" w:hAnsi="Calibri" w:cs="Calibri"/>
                <w:sz w:val="18"/>
                <w:szCs w:val="18"/>
              </w:rPr>
              <w:t>Annually and a</w:t>
            </w:r>
            <w:r w:rsidRPr="006A4AE3">
              <w:rPr>
                <w:rFonts w:ascii="Calibri" w:eastAsia="Calibri" w:hAnsi="Calibri" w:cs="Calibri"/>
                <w:sz w:val="18"/>
                <w:szCs w:val="18"/>
              </w:rPr>
              <w:t>s required</w:t>
            </w:r>
          </w:p>
        </w:tc>
      </w:tr>
      <w:tr w:rsidR="00AE253B" w:rsidRPr="006A4AE3" w14:paraId="3106F0FC" w14:textId="77777777" w:rsidTr="00AD0A78">
        <w:tc>
          <w:tcPr>
            <w:tcW w:w="2092" w:type="dxa"/>
          </w:tcPr>
          <w:p w14:paraId="559A3397"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UCITS Remuneration Committee</w:t>
            </w:r>
          </w:p>
          <w:p w14:paraId="17BA1BC6" w14:textId="77777777" w:rsidR="00AE253B" w:rsidRPr="006A4AE3" w:rsidRDefault="00AE253B" w:rsidP="00AD0A78">
            <w:pPr>
              <w:ind w:left="0"/>
              <w:jc w:val="left"/>
              <w:rPr>
                <w:rFonts w:ascii="Calibri" w:eastAsia="Calibri" w:hAnsi="Calibri" w:cs="Calibri"/>
                <w:sz w:val="18"/>
                <w:szCs w:val="18"/>
              </w:rPr>
            </w:pPr>
          </w:p>
          <w:p w14:paraId="59C82E54" w14:textId="77777777" w:rsidR="00AE253B" w:rsidRPr="006A4AE3" w:rsidRDefault="00AE253B" w:rsidP="00AD0A78">
            <w:pPr>
              <w:ind w:left="0"/>
              <w:jc w:val="left"/>
              <w:rPr>
                <w:rFonts w:ascii="Calibri" w:eastAsia="Calibri" w:hAnsi="Calibri" w:cs="Calibri"/>
                <w:sz w:val="18"/>
                <w:szCs w:val="18"/>
              </w:rPr>
            </w:pPr>
          </w:p>
        </w:tc>
        <w:tc>
          <w:tcPr>
            <w:tcW w:w="2723" w:type="dxa"/>
          </w:tcPr>
          <w:p w14:paraId="6FA63D94"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The purpose of this Committee is to ensure that the remuneration policies and practices for identified “in-scope” staff who have a material influence over our UCITS products are sound and that appropriate deferrals are made into UCITS in accordance with the UCITS Remuneration Policy.</w:t>
            </w:r>
          </w:p>
        </w:tc>
        <w:tc>
          <w:tcPr>
            <w:tcW w:w="2693" w:type="dxa"/>
          </w:tcPr>
          <w:p w14:paraId="57955AA3" w14:textId="77777777" w:rsidR="00AE253B" w:rsidRPr="00A86FB7"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LAML COO and Head of Legal</w:t>
            </w:r>
          </w:p>
          <w:p w14:paraId="17C3136E"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LAML Head of HR</w:t>
            </w:r>
          </w:p>
          <w:p w14:paraId="31CD323C"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LAML Head of Finance</w:t>
            </w:r>
          </w:p>
          <w:p w14:paraId="280D0862"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 LLC General Counsel</w:t>
            </w:r>
          </w:p>
          <w:p w14:paraId="17075040" w14:textId="77777777" w:rsidR="00AE253B" w:rsidRPr="00A86FB7" w:rsidRDefault="00AE253B" w:rsidP="00AD0A78">
            <w:pPr>
              <w:spacing w:after="0"/>
              <w:ind w:left="0"/>
              <w:jc w:val="left"/>
              <w:rPr>
                <w:rFonts w:ascii="Calibri" w:eastAsia="Calibri" w:hAnsi="Calibri" w:cs="Arial"/>
                <w:sz w:val="18"/>
                <w:szCs w:val="18"/>
              </w:rPr>
            </w:pPr>
            <w:r w:rsidRPr="00A86FB7">
              <w:rPr>
                <w:rFonts w:ascii="Calibri" w:eastAsia="Calibri" w:hAnsi="Calibri" w:cs="Arial"/>
                <w:sz w:val="18"/>
                <w:szCs w:val="18"/>
              </w:rPr>
              <w:t>LAM LLC HR</w:t>
            </w:r>
          </w:p>
          <w:p w14:paraId="0E9E6704" w14:textId="77777777" w:rsidR="00AE253B" w:rsidRPr="00A86FB7" w:rsidDel="002444B7" w:rsidRDefault="00AE253B" w:rsidP="00AD0A78">
            <w:pPr>
              <w:spacing w:after="0"/>
              <w:ind w:left="0"/>
              <w:jc w:val="left"/>
              <w:rPr>
                <w:rFonts w:ascii="Calibri" w:eastAsia="Calibri" w:hAnsi="Calibri" w:cs="Arial"/>
                <w:sz w:val="18"/>
                <w:szCs w:val="18"/>
              </w:rPr>
            </w:pPr>
          </w:p>
        </w:tc>
        <w:tc>
          <w:tcPr>
            <w:tcW w:w="2157" w:type="dxa"/>
          </w:tcPr>
          <w:p w14:paraId="6DE2CE08" w14:textId="77777777" w:rsidR="00AE253B" w:rsidRPr="006A4AE3" w:rsidRDefault="00AE253B" w:rsidP="00AD0A78">
            <w:pPr>
              <w:ind w:left="0"/>
              <w:jc w:val="left"/>
              <w:rPr>
                <w:rFonts w:ascii="Calibri" w:eastAsia="Calibri" w:hAnsi="Calibri" w:cs="Calibri"/>
                <w:sz w:val="18"/>
                <w:szCs w:val="18"/>
              </w:rPr>
            </w:pPr>
            <w:r w:rsidRPr="006A4AE3">
              <w:rPr>
                <w:rFonts w:ascii="Calibri" w:eastAsia="Calibri" w:hAnsi="Calibri" w:cs="Calibri"/>
                <w:sz w:val="18"/>
                <w:szCs w:val="18"/>
              </w:rPr>
              <w:t>Half yearly</w:t>
            </w:r>
          </w:p>
        </w:tc>
      </w:tr>
      <w:tr w:rsidR="00AE253B" w:rsidRPr="006A4AE3" w14:paraId="48FB4C26" w14:textId="77777777" w:rsidTr="00AD0A78">
        <w:trPr>
          <w:trHeight w:val="300"/>
        </w:trPr>
        <w:tc>
          <w:tcPr>
            <w:tcW w:w="2092" w:type="dxa"/>
          </w:tcPr>
          <w:p w14:paraId="7257B28F" w14:textId="77777777" w:rsidR="00AE253B" w:rsidRPr="006A4AE3" w:rsidRDefault="00AE253B" w:rsidP="00AD0A78">
            <w:pPr>
              <w:ind w:left="0"/>
              <w:jc w:val="left"/>
              <w:rPr>
                <w:rFonts w:ascii="Calibri" w:eastAsia="Calibri" w:hAnsi="Calibri" w:cs="Arial"/>
                <w:sz w:val="18"/>
                <w:szCs w:val="18"/>
              </w:rPr>
            </w:pPr>
            <w:r w:rsidRPr="006A4AE3">
              <w:rPr>
                <w:rFonts w:ascii="Calibri" w:eastAsia="Calibri" w:hAnsi="Calibri" w:cs="Arial"/>
                <w:sz w:val="18"/>
                <w:szCs w:val="18"/>
              </w:rPr>
              <w:t>Investment Management Group</w:t>
            </w:r>
          </w:p>
          <w:p w14:paraId="296A0EF0" w14:textId="77777777" w:rsidR="00AE253B" w:rsidRPr="006A4AE3" w:rsidRDefault="00AE253B" w:rsidP="00AD0A78">
            <w:pPr>
              <w:ind w:left="0"/>
              <w:jc w:val="left"/>
              <w:rPr>
                <w:rFonts w:ascii="Calibri" w:eastAsia="MS Mincho" w:hAnsi="Calibri" w:cs="Arial"/>
                <w:sz w:val="18"/>
                <w:szCs w:val="18"/>
              </w:rPr>
            </w:pPr>
            <w:r w:rsidRPr="006A4AE3">
              <w:rPr>
                <w:rFonts w:ascii="Calibri" w:eastAsia="Calibri" w:hAnsi="Calibri" w:cs="Arial"/>
                <w:sz w:val="18"/>
                <w:szCs w:val="18"/>
              </w:rPr>
              <w:t>(Global Committee)</w:t>
            </w:r>
          </w:p>
          <w:p w14:paraId="64CBD1BF" w14:textId="77777777" w:rsidR="00AE253B" w:rsidRPr="006A4AE3" w:rsidRDefault="00AE253B" w:rsidP="00AD0A78">
            <w:pPr>
              <w:ind w:left="0"/>
              <w:jc w:val="left"/>
              <w:rPr>
                <w:rFonts w:ascii="Calibri" w:eastAsia="Calibri" w:hAnsi="Calibri" w:cs="Arial"/>
                <w:sz w:val="18"/>
                <w:szCs w:val="18"/>
              </w:rPr>
            </w:pPr>
          </w:p>
        </w:tc>
        <w:tc>
          <w:tcPr>
            <w:tcW w:w="2723" w:type="dxa"/>
          </w:tcPr>
          <w:p w14:paraId="7A3A6DF1" w14:textId="77777777" w:rsidR="00AE253B" w:rsidRPr="006A4AE3" w:rsidRDefault="00AE253B" w:rsidP="00AD0A78">
            <w:pPr>
              <w:ind w:left="0"/>
              <w:jc w:val="left"/>
              <w:rPr>
                <w:rFonts w:ascii="Calibri" w:eastAsia="Calibri" w:hAnsi="Calibri" w:cs="Arial"/>
                <w:sz w:val="18"/>
                <w:szCs w:val="18"/>
              </w:rPr>
            </w:pPr>
            <w:r w:rsidRPr="006A4AE3">
              <w:rPr>
                <w:rFonts w:ascii="Calibri" w:eastAsia="Calibri" w:hAnsi="Calibri" w:cs="Arial"/>
                <w:sz w:val="18"/>
                <w:szCs w:val="18"/>
              </w:rPr>
              <w:t>The purpose of this Committee is to review existing and approve new strategies managed throughout the LAM Group</w:t>
            </w:r>
          </w:p>
        </w:tc>
        <w:tc>
          <w:tcPr>
            <w:tcW w:w="2693" w:type="dxa"/>
          </w:tcPr>
          <w:p w14:paraId="2E98A36C"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CEO</w:t>
            </w:r>
          </w:p>
          <w:p w14:paraId="30C23D3A"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Senior Portfolio Managers throughout LAM Group</w:t>
            </w:r>
          </w:p>
          <w:p w14:paraId="26B3AF7E"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Co- Head of Sustainability</w:t>
            </w:r>
          </w:p>
          <w:p w14:paraId="56602AF2"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Head of Analysts</w:t>
            </w:r>
          </w:p>
          <w:p w14:paraId="425C6C44" w14:textId="77777777" w:rsidR="00AE253B" w:rsidRPr="006A4AE3" w:rsidRDefault="00AE253B" w:rsidP="00AD0A78">
            <w:pPr>
              <w:spacing w:after="0"/>
              <w:jc w:val="left"/>
              <w:rPr>
                <w:rFonts w:ascii="Calibri" w:eastAsia="Calibri" w:hAnsi="Calibri" w:cs="Arial"/>
                <w:sz w:val="18"/>
                <w:szCs w:val="18"/>
              </w:rPr>
            </w:pPr>
          </w:p>
        </w:tc>
        <w:tc>
          <w:tcPr>
            <w:tcW w:w="2157" w:type="dxa"/>
          </w:tcPr>
          <w:p w14:paraId="6EB24B2F" w14:textId="77777777" w:rsidR="00AE253B" w:rsidRPr="006A4AE3" w:rsidRDefault="00AE253B" w:rsidP="00AD0A78">
            <w:pPr>
              <w:ind w:left="0"/>
              <w:jc w:val="left"/>
              <w:rPr>
                <w:rFonts w:ascii="Calibri" w:eastAsia="Calibri" w:hAnsi="Calibri" w:cs="Arial"/>
                <w:sz w:val="18"/>
                <w:szCs w:val="18"/>
              </w:rPr>
            </w:pPr>
            <w:r w:rsidRPr="006A4AE3">
              <w:rPr>
                <w:rFonts w:ascii="Calibri" w:eastAsia="Calibri" w:hAnsi="Calibri" w:cs="Arial"/>
                <w:sz w:val="18"/>
                <w:szCs w:val="18"/>
              </w:rPr>
              <w:t>Ad hoc and as required</w:t>
            </w:r>
          </w:p>
        </w:tc>
      </w:tr>
      <w:tr w:rsidR="00AE253B" w:rsidRPr="006A4AE3" w14:paraId="5BB48A4A" w14:textId="77777777" w:rsidTr="00AD0A78">
        <w:trPr>
          <w:trHeight w:val="300"/>
        </w:trPr>
        <w:tc>
          <w:tcPr>
            <w:tcW w:w="2092" w:type="dxa"/>
          </w:tcPr>
          <w:p w14:paraId="6BA5343B" w14:textId="77777777" w:rsidR="00AE253B" w:rsidRPr="006A4AE3" w:rsidRDefault="00AE253B" w:rsidP="00AD0A78">
            <w:pPr>
              <w:ind w:left="0"/>
              <w:jc w:val="left"/>
              <w:rPr>
                <w:rFonts w:ascii="Calibri" w:eastAsia="Calibri" w:hAnsi="Calibri" w:cs="Arial"/>
                <w:sz w:val="18"/>
                <w:szCs w:val="18"/>
              </w:rPr>
            </w:pPr>
            <w:r w:rsidRPr="006A4AE3">
              <w:rPr>
                <w:rFonts w:ascii="Calibri" w:eastAsia="Calibri" w:hAnsi="Calibri" w:cs="Arial"/>
                <w:sz w:val="18"/>
                <w:szCs w:val="18"/>
              </w:rPr>
              <w:t>Sales &amp; Marketing Management Group</w:t>
            </w:r>
          </w:p>
          <w:p w14:paraId="3BD1A0E3" w14:textId="77777777" w:rsidR="00AE253B" w:rsidRPr="006A4AE3" w:rsidRDefault="00AE253B" w:rsidP="00AD0A78">
            <w:pPr>
              <w:ind w:left="0"/>
              <w:jc w:val="left"/>
              <w:rPr>
                <w:rFonts w:ascii="Calibri" w:eastAsia="MS Mincho" w:hAnsi="Calibri" w:cs="Arial"/>
                <w:sz w:val="18"/>
                <w:szCs w:val="18"/>
              </w:rPr>
            </w:pPr>
            <w:r w:rsidRPr="006A4AE3">
              <w:rPr>
                <w:rFonts w:ascii="Calibri" w:eastAsia="Calibri" w:hAnsi="Calibri" w:cs="Arial"/>
                <w:sz w:val="18"/>
                <w:szCs w:val="18"/>
              </w:rPr>
              <w:t>(Global Committee)</w:t>
            </w:r>
          </w:p>
          <w:p w14:paraId="7415FC34" w14:textId="77777777" w:rsidR="00AE253B" w:rsidRPr="006A4AE3" w:rsidRDefault="00AE253B" w:rsidP="00AD0A78">
            <w:pPr>
              <w:ind w:left="0"/>
              <w:jc w:val="left"/>
              <w:rPr>
                <w:rFonts w:ascii="Calibri" w:eastAsia="Calibri" w:hAnsi="Calibri" w:cs="Arial"/>
                <w:sz w:val="18"/>
                <w:szCs w:val="18"/>
              </w:rPr>
            </w:pPr>
          </w:p>
        </w:tc>
        <w:tc>
          <w:tcPr>
            <w:tcW w:w="2723" w:type="dxa"/>
          </w:tcPr>
          <w:p w14:paraId="0A794BA2" w14:textId="77777777" w:rsidR="00AE253B" w:rsidRPr="006A4AE3" w:rsidRDefault="00AE253B" w:rsidP="00AD0A78">
            <w:pPr>
              <w:ind w:left="0"/>
              <w:jc w:val="left"/>
              <w:rPr>
                <w:rFonts w:ascii="Calibri" w:eastAsia="Calibri" w:hAnsi="Calibri" w:cs="Arial"/>
                <w:sz w:val="18"/>
                <w:szCs w:val="18"/>
              </w:rPr>
            </w:pPr>
            <w:r w:rsidRPr="006A4AE3">
              <w:rPr>
                <w:rFonts w:ascii="Calibri" w:eastAsia="Calibri" w:hAnsi="Calibri" w:cs="Arial"/>
                <w:sz w:val="18"/>
                <w:szCs w:val="18"/>
              </w:rPr>
              <w:t>The purpose of this Committee is to review the sales and marketing strategy of the LAM Group and to approve new initiatives as required</w:t>
            </w:r>
          </w:p>
        </w:tc>
        <w:tc>
          <w:tcPr>
            <w:tcW w:w="2693" w:type="dxa"/>
          </w:tcPr>
          <w:p w14:paraId="6A573953"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Head of Sales, North America</w:t>
            </w:r>
          </w:p>
          <w:p w14:paraId="2F3F1D30"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LAML CEO</w:t>
            </w:r>
          </w:p>
          <w:p w14:paraId="234F93D4"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Sales</w:t>
            </w:r>
          </w:p>
          <w:p w14:paraId="3EE6FA3E"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Deutschland CEO</w:t>
            </w:r>
          </w:p>
          <w:p w14:paraId="3E1AE847"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Head of LFM Sales</w:t>
            </w:r>
          </w:p>
          <w:p w14:paraId="294DB7C6"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LFG Sales</w:t>
            </w:r>
          </w:p>
          <w:p w14:paraId="258FE173"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Pacific Sales</w:t>
            </w:r>
          </w:p>
          <w:p w14:paraId="1BC8CD4D" w14:textId="77777777" w:rsidR="00AE253B"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Head of Marketing</w:t>
            </w:r>
          </w:p>
          <w:p w14:paraId="0178B242" w14:textId="77777777" w:rsidR="00AE253B" w:rsidRPr="006A4AE3" w:rsidRDefault="00AE253B" w:rsidP="00AD0A78">
            <w:pPr>
              <w:spacing w:after="0"/>
              <w:ind w:left="0"/>
              <w:jc w:val="left"/>
              <w:rPr>
                <w:rFonts w:ascii="Calibri" w:eastAsia="Calibri" w:hAnsi="Calibri" w:cs="Arial"/>
                <w:sz w:val="18"/>
                <w:szCs w:val="18"/>
              </w:rPr>
            </w:pPr>
          </w:p>
        </w:tc>
        <w:tc>
          <w:tcPr>
            <w:tcW w:w="2157" w:type="dxa"/>
          </w:tcPr>
          <w:p w14:paraId="0E5B32B2" w14:textId="77777777" w:rsidR="00AE253B" w:rsidRPr="006A4AE3" w:rsidRDefault="00AE253B" w:rsidP="00AD0A78">
            <w:pPr>
              <w:ind w:left="0"/>
              <w:jc w:val="left"/>
              <w:rPr>
                <w:rFonts w:ascii="Calibri" w:eastAsia="Calibri" w:hAnsi="Calibri" w:cs="Arial"/>
                <w:sz w:val="18"/>
                <w:szCs w:val="18"/>
              </w:rPr>
            </w:pPr>
            <w:r w:rsidRPr="006A4AE3">
              <w:rPr>
                <w:rFonts w:ascii="Calibri" w:eastAsia="Calibri" w:hAnsi="Calibri" w:cs="Arial"/>
                <w:sz w:val="18"/>
                <w:szCs w:val="18"/>
              </w:rPr>
              <w:t>Ad hoc and as required</w:t>
            </w:r>
          </w:p>
        </w:tc>
      </w:tr>
      <w:tr w:rsidR="00AE253B" w:rsidRPr="006A4AE3" w14:paraId="6B413CA3" w14:textId="77777777" w:rsidTr="00AD0A78">
        <w:trPr>
          <w:trHeight w:val="300"/>
        </w:trPr>
        <w:tc>
          <w:tcPr>
            <w:tcW w:w="2092" w:type="dxa"/>
          </w:tcPr>
          <w:p w14:paraId="382A23FE" w14:textId="77777777" w:rsidR="00AE253B" w:rsidRPr="006A4AE3" w:rsidRDefault="00AE253B" w:rsidP="00AD0A78">
            <w:pPr>
              <w:ind w:left="0"/>
              <w:rPr>
                <w:rFonts w:ascii="Calibri" w:eastAsia="Calibri" w:hAnsi="Calibri" w:cs="Arial"/>
                <w:sz w:val="18"/>
                <w:szCs w:val="18"/>
              </w:rPr>
            </w:pPr>
            <w:r w:rsidRPr="006A4AE3">
              <w:rPr>
                <w:rFonts w:ascii="Calibri" w:eastAsia="Calibri" w:hAnsi="Calibri" w:cs="Arial"/>
                <w:sz w:val="18"/>
                <w:szCs w:val="18"/>
              </w:rPr>
              <w:t>Infrastructure Management Group</w:t>
            </w:r>
          </w:p>
          <w:p w14:paraId="43B3A708" w14:textId="77777777" w:rsidR="00AE253B" w:rsidRPr="006A4AE3" w:rsidRDefault="00AE253B" w:rsidP="00AD0A78">
            <w:pPr>
              <w:ind w:left="0"/>
              <w:jc w:val="left"/>
              <w:rPr>
                <w:rFonts w:ascii="Calibri" w:eastAsia="MS Mincho" w:hAnsi="Calibri" w:cs="Arial"/>
                <w:sz w:val="18"/>
                <w:szCs w:val="18"/>
              </w:rPr>
            </w:pPr>
            <w:r w:rsidRPr="006A4AE3">
              <w:rPr>
                <w:rFonts w:ascii="Calibri" w:eastAsia="Calibri" w:hAnsi="Calibri" w:cs="Arial"/>
                <w:sz w:val="18"/>
                <w:szCs w:val="18"/>
              </w:rPr>
              <w:t>(Global Committee)</w:t>
            </w:r>
          </w:p>
          <w:p w14:paraId="5E1BBCFD" w14:textId="77777777" w:rsidR="00AE253B" w:rsidRPr="006A4AE3" w:rsidRDefault="00AE253B" w:rsidP="00AD0A78">
            <w:pPr>
              <w:ind w:left="0"/>
              <w:rPr>
                <w:rFonts w:ascii="Calibri" w:eastAsia="Calibri" w:hAnsi="Calibri" w:cs="Arial"/>
                <w:sz w:val="18"/>
                <w:szCs w:val="18"/>
              </w:rPr>
            </w:pPr>
          </w:p>
        </w:tc>
        <w:tc>
          <w:tcPr>
            <w:tcW w:w="2723" w:type="dxa"/>
          </w:tcPr>
          <w:p w14:paraId="692E2301" w14:textId="77777777" w:rsidR="00AE253B" w:rsidRPr="006A4AE3" w:rsidRDefault="00AE253B" w:rsidP="00AD0A78">
            <w:pPr>
              <w:ind w:left="0"/>
              <w:jc w:val="left"/>
              <w:rPr>
                <w:rFonts w:ascii="Calibri" w:eastAsia="Calibri" w:hAnsi="Calibri" w:cs="Arial"/>
                <w:sz w:val="18"/>
                <w:szCs w:val="18"/>
              </w:rPr>
            </w:pPr>
            <w:r w:rsidRPr="006A4AE3">
              <w:rPr>
                <w:rFonts w:ascii="Calibri" w:eastAsia="Calibri" w:hAnsi="Calibri" w:cs="Arial"/>
                <w:sz w:val="18"/>
                <w:szCs w:val="18"/>
              </w:rPr>
              <w:t>The purpose of this Committee is to review the key infrastructure support areas to the LAM Group</w:t>
            </w:r>
          </w:p>
        </w:tc>
        <w:tc>
          <w:tcPr>
            <w:tcW w:w="2693" w:type="dxa"/>
          </w:tcPr>
          <w:p w14:paraId="2A01C930"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General Counsel</w:t>
            </w:r>
          </w:p>
          <w:p w14:paraId="218FF887"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Head of Technology &amp; Operations</w:t>
            </w:r>
          </w:p>
          <w:p w14:paraId="2B3E0E76"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Head of Risk</w:t>
            </w:r>
          </w:p>
          <w:p w14:paraId="06BDA049"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LFMI CEO</w:t>
            </w:r>
          </w:p>
          <w:p w14:paraId="33BAB4B6"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Head of Compliance</w:t>
            </w:r>
          </w:p>
          <w:p w14:paraId="1CB379B2"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CFO</w:t>
            </w:r>
          </w:p>
          <w:p w14:paraId="2C505165"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Head of Trading</w:t>
            </w:r>
          </w:p>
          <w:p w14:paraId="204F5E38" w14:textId="77777777" w:rsidR="00AE253B"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HR</w:t>
            </w:r>
          </w:p>
          <w:p w14:paraId="1FDE4B9C" w14:textId="77777777" w:rsidR="00AE253B" w:rsidRPr="006A4AE3" w:rsidRDefault="00AE253B" w:rsidP="00AD0A78">
            <w:pPr>
              <w:spacing w:after="0"/>
              <w:ind w:left="0"/>
              <w:jc w:val="left"/>
              <w:rPr>
                <w:rFonts w:ascii="Calibri" w:eastAsia="Calibri" w:hAnsi="Calibri" w:cs="Arial"/>
                <w:sz w:val="18"/>
                <w:szCs w:val="18"/>
              </w:rPr>
            </w:pPr>
          </w:p>
        </w:tc>
        <w:tc>
          <w:tcPr>
            <w:tcW w:w="2157" w:type="dxa"/>
          </w:tcPr>
          <w:p w14:paraId="2E075B2B" w14:textId="77777777" w:rsidR="00AE253B" w:rsidRPr="006A4AE3" w:rsidRDefault="00AE253B" w:rsidP="00AD0A78">
            <w:pPr>
              <w:ind w:left="0"/>
              <w:jc w:val="left"/>
              <w:rPr>
                <w:rFonts w:ascii="Calibri" w:eastAsia="Calibri" w:hAnsi="Calibri" w:cs="Arial"/>
                <w:sz w:val="18"/>
                <w:szCs w:val="18"/>
              </w:rPr>
            </w:pPr>
            <w:r w:rsidRPr="006A4AE3">
              <w:rPr>
                <w:rFonts w:ascii="Calibri" w:eastAsia="Calibri" w:hAnsi="Calibri" w:cs="Arial"/>
                <w:sz w:val="18"/>
                <w:szCs w:val="18"/>
              </w:rPr>
              <w:t>Ad hoc and as required</w:t>
            </w:r>
          </w:p>
        </w:tc>
      </w:tr>
      <w:tr w:rsidR="00AE253B" w:rsidRPr="006A4AE3" w14:paraId="192ABC94" w14:textId="77777777" w:rsidTr="00AD0A78">
        <w:trPr>
          <w:trHeight w:val="300"/>
        </w:trPr>
        <w:tc>
          <w:tcPr>
            <w:tcW w:w="2092" w:type="dxa"/>
          </w:tcPr>
          <w:p w14:paraId="40C02603" w14:textId="77777777" w:rsidR="00AE253B" w:rsidRPr="006A4AE3" w:rsidRDefault="00AE253B" w:rsidP="00AD0A78">
            <w:pPr>
              <w:ind w:left="0"/>
              <w:rPr>
                <w:rFonts w:ascii="Calibri" w:eastAsia="Calibri" w:hAnsi="Calibri" w:cs="Arial"/>
                <w:sz w:val="18"/>
                <w:szCs w:val="18"/>
              </w:rPr>
            </w:pPr>
            <w:r w:rsidRPr="006A4AE3">
              <w:rPr>
                <w:rFonts w:ascii="Calibri" w:eastAsia="Calibri" w:hAnsi="Calibri" w:cs="Arial"/>
                <w:sz w:val="18"/>
                <w:szCs w:val="18"/>
              </w:rPr>
              <w:t>Strategic Growth Group</w:t>
            </w:r>
          </w:p>
          <w:p w14:paraId="267F110A" w14:textId="77777777" w:rsidR="00AE253B" w:rsidRPr="006A4AE3" w:rsidRDefault="00AE253B" w:rsidP="00AD0A78">
            <w:pPr>
              <w:ind w:left="0"/>
              <w:jc w:val="left"/>
              <w:rPr>
                <w:rFonts w:ascii="Calibri" w:eastAsia="MS Mincho" w:hAnsi="Calibri" w:cs="Arial"/>
                <w:sz w:val="18"/>
                <w:szCs w:val="18"/>
              </w:rPr>
            </w:pPr>
            <w:r w:rsidRPr="006A4AE3">
              <w:rPr>
                <w:rFonts w:ascii="Calibri" w:eastAsia="Calibri" w:hAnsi="Calibri" w:cs="Arial"/>
                <w:sz w:val="18"/>
                <w:szCs w:val="18"/>
              </w:rPr>
              <w:t>(Global Committee)</w:t>
            </w:r>
          </w:p>
          <w:p w14:paraId="73BD7F33" w14:textId="77777777" w:rsidR="00AE253B" w:rsidRPr="006A4AE3" w:rsidRDefault="00AE253B" w:rsidP="00AD0A78">
            <w:pPr>
              <w:ind w:left="0"/>
              <w:rPr>
                <w:rFonts w:ascii="Calibri" w:eastAsia="Calibri" w:hAnsi="Calibri" w:cs="Arial"/>
                <w:sz w:val="18"/>
                <w:szCs w:val="18"/>
              </w:rPr>
            </w:pPr>
          </w:p>
        </w:tc>
        <w:tc>
          <w:tcPr>
            <w:tcW w:w="2723" w:type="dxa"/>
          </w:tcPr>
          <w:p w14:paraId="47C5CE2C" w14:textId="77777777" w:rsidR="00AE253B" w:rsidRPr="006A4AE3" w:rsidRDefault="00AE253B" w:rsidP="00AD0A78">
            <w:pPr>
              <w:ind w:left="0"/>
              <w:jc w:val="left"/>
              <w:rPr>
                <w:rFonts w:ascii="Calibri" w:eastAsia="Calibri" w:hAnsi="Calibri" w:cs="Arial"/>
                <w:sz w:val="18"/>
                <w:szCs w:val="18"/>
              </w:rPr>
            </w:pPr>
            <w:r w:rsidRPr="006A4AE3">
              <w:rPr>
                <w:rFonts w:ascii="Calibri" w:eastAsia="Calibri" w:hAnsi="Calibri" w:cs="Arial"/>
                <w:sz w:val="18"/>
                <w:szCs w:val="18"/>
              </w:rPr>
              <w:t>The purpose of this Committee is to consider the strategic growth of the LAM Group, reviewing opportunities as they arise</w:t>
            </w:r>
          </w:p>
        </w:tc>
        <w:tc>
          <w:tcPr>
            <w:tcW w:w="2693" w:type="dxa"/>
          </w:tcPr>
          <w:p w14:paraId="0A835790"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Deputy Chairman</w:t>
            </w:r>
          </w:p>
          <w:p w14:paraId="6BC2E02A"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General Counsel</w:t>
            </w:r>
          </w:p>
          <w:p w14:paraId="2E1E9595"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Head of Risk</w:t>
            </w:r>
          </w:p>
          <w:p w14:paraId="665D4560"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Chief Operating Officer</w:t>
            </w:r>
          </w:p>
          <w:p w14:paraId="233B6252" w14:textId="77777777" w:rsidR="00AE253B" w:rsidRPr="006A4AE3"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LAM LLC Geopolitical Advisory</w:t>
            </w:r>
          </w:p>
          <w:p w14:paraId="3837B397" w14:textId="77777777" w:rsidR="00AE253B" w:rsidRDefault="00AE253B" w:rsidP="00AD0A78">
            <w:pPr>
              <w:spacing w:after="0"/>
              <w:ind w:left="0"/>
              <w:jc w:val="left"/>
              <w:rPr>
                <w:rFonts w:ascii="Calibri" w:eastAsia="Calibri" w:hAnsi="Calibri" w:cs="Arial"/>
                <w:sz w:val="18"/>
                <w:szCs w:val="18"/>
              </w:rPr>
            </w:pPr>
            <w:r w:rsidRPr="006A4AE3">
              <w:rPr>
                <w:rFonts w:ascii="Calibri" w:eastAsia="Calibri" w:hAnsi="Calibri" w:cs="Arial"/>
                <w:sz w:val="18"/>
                <w:szCs w:val="18"/>
              </w:rPr>
              <w:t>Corporate Strategy</w:t>
            </w:r>
          </w:p>
          <w:p w14:paraId="4BF16C7D" w14:textId="77777777" w:rsidR="00AE253B" w:rsidRPr="006A4AE3" w:rsidRDefault="00AE253B" w:rsidP="00AD0A78">
            <w:pPr>
              <w:spacing w:after="0"/>
              <w:ind w:left="0"/>
              <w:jc w:val="left"/>
              <w:rPr>
                <w:rFonts w:ascii="Calibri" w:eastAsia="Calibri" w:hAnsi="Calibri" w:cs="Arial"/>
                <w:sz w:val="18"/>
                <w:szCs w:val="18"/>
              </w:rPr>
            </w:pPr>
          </w:p>
        </w:tc>
        <w:tc>
          <w:tcPr>
            <w:tcW w:w="2157" w:type="dxa"/>
          </w:tcPr>
          <w:p w14:paraId="07DBDFF0" w14:textId="77777777" w:rsidR="00AE253B" w:rsidRPr="006A4AE3" w:rsidRDefault="00AE253B" w:rsidP="00AD0A78">
            <w:pPr>
              <w:ind w:left="0"/>
              <w:jc w:val="left"/>
              <w:rPr>
                <w:rFonts w:ascii="Calibri" w:eastAsia="Calibri" w:hAnsi="Calibri" w:cs="Arial"/>
                <w:sz w:val="18"/>
                <w:szCs w:val="18"/>
              </w:rPr>
            </w:pPr>
            <w:r w:rsidRPr="006A4AE3">
              <w:rPr>
                <w:rFonts w:ascii="Calibri" w:eastAsia="Calibri" w:hAnsi="Calibri" w:cs="Arial"/>
                <w:sz w:val="18"/>
                <w:szCs w:val="18"/>
              </w:rPr>
              <w:t>Ad hoc and as required</w:t>
            </w:r>
          </w:p>
        </w:tc>
      </w:tr>
    </w:tbl>
    <w:p w14:paraId="51A1B403" w14:textId="0BC5A9E8" w:rsidR="00F71B3E" w:rsidRPr="00DC5AD5" w:rsidRDefault="00F71B3E" w:rsidP="00DC5AD5">
      <w:pPr>
        <w:pStyle w:val="Heading2"/>
        <w:numPr>
          <w:ilvl w:val="1"/>
          <w:numId w:val="2"/>
        </w:numPr>
        <w:spacing w:after="100" w:afterAutospacing="1"/>
        <w:rPr>
          <w:rFonts w:asciiTheme="minorHAnsi" w:hAnsiTheme="minorHAnsi" w:cstheme="minorHAnsi"/>
        </w:rPr>
      </w:pPr>
      <w:bookmarkStart w:id="40" w:name="_Toc139016571"/>
      <w:bookmarkEnd w:id="39"/>
      <w:r w:rsidRPr="004B4FB2">
        <w:rPr>
          <w:rFonts w:asciiTheme="minorHAnsi" w:hAnsiTheme="minorHAnsi" w:cstheme="minorHAnsi"/>
        </w:rPr>
        <w:lastRenderedPageBreak/>
        <w:t>Policy on recruitment</w:t>
      </w:r>
      <w:bookmarkEnd w:id="40"/>
      <w:r w:rsidRPr="004B4FB2">
        <w:rPr>
          <w:rFonts w:asciiTheme="minorHAnsi" w:hAnsiTheme="minorHAnsi" w:cstheme="minorHAnsi"/>
        </w:rPr>
        <w:t xml:space="preserve"> </w:t>
      </w:r>
    </w:p>
    <w:p w14:paraId="0DF1B625" w14:textId="00F42D60" w:rsidR="00F71B3E" w:rsidRPr="00F71B3E" w:rsidRDefault="00F71B3E" w:rsidP="00F630D9">
      <w:pPr>
        <w:ind w:left="0"/>
      </w:pPr>
      <w:r w:rsidRPr="00F71B3E">
        <w:t xml:space="preserve">Recruitment into the Board involves the assessment that candidates possess sufficient knowledge, </w:t>
      </w:r>
      <w:proofErr w:type="gramStart"/>
      <w:r w:rsidRPr="00F71B3E">
        <w:t>skills</w:t>
      </w:r>
      <w:proofErr w:type="gramEnd"/>
      <w:r w:rsidRPr="00F71B3E">
        <w:t xml:space="preserve"> and experience to perform their duties. The overall composition of the Board reflects an adequately broad range of experiences to be able to understand the </w:t>
      </w:r>
      <w:r w:rsidR="00A067E7">
        <w:t>Group</w:t>
      </w:r>
      <w:r w:rsidRPr="00F71B3E">
        <w:t xml:space="preserve">’s activities, including the main risks to ensure the sound and prudent management of the </w:t>
      </w:r>
      <w:r w:rsidR="00A067E7">
        <w:t>Group</w:t>
      </w:r>
      <w:r w:rsidRPr="00F71B3E">
        <w:t xml:space="preserve"> as well as sufficient knowledge of the legal framework governing the operations of the </w:t>
      </w:r>
      <w:r w:rsidR="008A7A28">
        <w:t>Group</w:t>
      </w:r>
      <w:r w:rsidRPr="00F71B3E">
        <w:t>.</w:t>
      </w:r>
    </w:p>
    <w:p w14:paraId="568E4351" w14:textId="61BAF94D" w:rsidR="00775B6D" w:rsidRPr="00496FC6" w:rsidRDefault="00775B6D">
      <w:pPr>
        <w:pStyle w:val="Heading2"/>
        <w:numPr>
          <w:ilvl w:val="1"/>
          <w:numId w:val="2"/>
        </w:numPr>
        <w:rPr>
          <w:rFonts w:asciiTheme="minorHAnsi" w:hAnsiTheme="minorHAnsi" w:cstheme="minorBidi"/>
          <w:lang w:eastAsia="en-GB"/>
        </w:rPr>
      </w:pPr>
      <w:bookmarkStart w:id="41" w:name="_Toc139016572"/>
      <w:r w:rsidRPr="1C012DF9">
        <w:rPr>
          <w:rFonts w:asciiTheme="minorHAnsi" w:hAnsiTheme="minorHAnsi" w:cstheme="minorBidi"/>
          <w:lang w:eastAsia="en-GB"/>
        </w:rPr>
        <w:t>Directorships</w:t>
      </w:r>
      <w:bookmarkEnd w:id="38"/>
      <w:bookmarkEnd w:id="41"/>
      <w:r w:rsidRPr="1C012DF9">
        <w:rPr>
          <w:rFonts w:asciiTheme="minorHAnsi" w:hAnsiTheme="minorHAnsi" w:cstheme="minorBidi"/>
          <w:lang w:eastAsia="en-GB"/>
        </w:rPr>
        <w:t xml:space="preserve"> </w:t>
      </w:r>
    </w:p>
    <w:p w14:paraId="7110F900" w14:textId="2A731380" w:rsidR="001B6821" w:rsidRPr="000D1D37" w:rsidRDefault="00775B6D" w:rsidP="00775B6D">
      <w:pPr>
        <w:pStyle w:val="Default"/>
        <w:spacing w:after="240"/>
        <w:jc w:val="both"/>
        <w:rPr>
          <w:rFonts w:asciiTheme="minorHAnsi" w:hAnsiTheme="minorHAnsi" w:cstheme="minorBidi"/>
          <w:sz w:val="22"/>
          <w:szCs w:val="22"/>
        </w:rPr>
      </w:pPr>
      <w:r>
        <w:br/>
      </w:r>
      <w:r w:rsidR="19DE43C2" w:rsidRPr="004B4FB2">
        <w:rPr>
          <w:rFonts w:asciiTheme="minorHAnsi" w:eastAsiaTheme="minorEastAsia" w:hAnsiTheme="minorHAnsi" w:cstheme="minorBidi"/>
          <w:sz w:val="22"/>
          <w:szCs w:val="22"/>
        </w:rPr>
        <w:t xml:space="preserve">As noted above, the Board is comprised </w:t>
      </w:r>
      <w:r w:rsidR="19DE43C2" w:rsidRPr="006A0264">
        <w:rPr>
          <w:rFonts w:asciiTheme="minorHAnsi" w:eastAsiaTheme="minorEastAsia" w:hAnsiTheme="minorHAnsi" w:cstheme="minorBidi"/>
          <w:sz w:val="22"/>
          <w:szCs w:val="22"/>
        </w:rPr>
        <w:t xml:space="preserve">of </w:t>
      </w:r>
      <w:r w:rsidR="00955486">
        <w:rPr>
          <w:rFonts w:asciiTheme="minorHAnsi" w:eastAsiaTheme="minorEastAsia" w:hAnsiTheme="minorHAnsi" w:cstheme="minorBidi"/>
          <w:sz w:val="22"/>
          <w:szCs w:val="22"/>
        </w:rPr>
        <w:t>seven</w:t>
      </w:r>
      <w:r w:rsidR="19DE43C2" w:rsidRPr="006A0264">
        <w:rPr>
          <w:rFonts w:asciiTheme="minorHAnsi" w:eastAsiaTheme="minorEastAsia" w:hAnsiTheme="minorHAnsi" w:cstheme="minorBidi"/>
          <w:sz w:val="22"/>
          <w:szCs w:val="22"/>
        </w:rPr>
        <w:t xml:space="preserve"> executive directors.</w:t>
      </w:r>
      <w:r w:rsidR="000D0D36">
        <w:rPr>
          <w:rFonts w:asciiTheme="minorHAnsi" w:eastAsiaTheme="minorEastAsia" w:hAnsiTheme="minorHAnsi" w:cstheme="minorBidi"/>
          <w:sz w:val="22"/>
          <w:szCs w:val="22"/>
        </w:rPr>
        <w:t xml:space="preserve"> </w:t>
      </w:r>
      <w:r w:rsidR="19DE43C2" w:rsidRPr="3498C462">
        <w:rPr>
          <w:rFonts w:asciiTheme="minorHAnsi" w:eastAsiaTheme="minorEastAsia" w:hAnsiTheme="minorHAnsi" w:cstheme="minorBidi"/>
          <w:sz w:val="22"/>
          <w:szCs w:val="22"/>
        </w:rPr>
        <w:t xml:space="preserve"> Details of their </w:t>
      </w:r>
      <w:r w:rsidR="2D4C5759" w:rsidRPr="3498C462">
        <w:rPr>
          <w:rFonts w:asciiTheme="minorHAnsi" w:eastAsiaTheme="minorEastAsia" w:hAnsiTheme="minorHAnsi" w:cstheme="minorBidi"/>
          <w:sz w:val="22"/>
          <w:szCs w:val="22"/>
        </w:rPr>
        <w:t xml:space="preserve">roles and the number of external directorships held by </w:t>
      </w:r>
      <w:r w:rsidR="6E76BAB3" w:rsidRPr="7F3F34CE">
        <w:rPr>
          <w:rFonts w:asciiTheme="minorHAnsi" w:eastAsiaTheme="minorEastAsia" w:hAnsiTheme="minorHAnsi" w:cstheme="minorBidi"/>
          <w:sz w:val="22"/>
          <w:szCs w:val="22"/>
        </w:rPr>
        <w:t>th</w:t>
      </w:r>
      <w:r w:rsidR="3B0FDA56" w:rsidRPr="7F3F34CE">
        <w:rPr>
          <w:rFonts w:asciiTheme="minorHAnsi" w:eastAsiaTheme="minorEastAsia" w:hAnsiTheme="minorHAnsi" w:cstheme="minorBidi"/>
          <w:sz w:val="22"/>
          <w:szCs w:val="22"/>
        </w:rPr>
        <w:t>ese</w:t>
      </w:r>
      <w:r w:rsidR="2D4C5759" w:rsidRPr="3498C462">
        <w:rPr>
          <w:rFonts w:asciiTheme="minorHAnsi" w:eastAsiaTheme="minorEastAsia" w:hAnsiTheme="minorHAnsi" w:cstheme="minorBidi"/>
          <w:sz w:val="22"/>
          <w:szCs w:val="22"/>
        </w:rPr>
        <w:t xml:space="preserve"> individuals </w:t>
      </w:r>
      <w:r w:rsidRPr="7F3F34CE">
        <w:rPr>
          <w:rFonts w:asciiTheme="minorHAnsi" w:eastAsiaTheme="minorEastAsia" w:hAnsiTheme="minorHAnsi" w:cstheme="minorBidi"/>
          <w:sz w:val="22"/>
          <w:szCs w:val="22"/>
        </w:rPr>
        <w:t xml:space="preserve">as </w:t>
      </w:r>
      <w:proofErr w:type="gramStart"/>
      <w:r w:rsidRPr="7F3F34CE">
        <w:rPr>
          <w:rFonts w:asciiTheme="minorHAnsi" w:eastAsiaTheme="minorEastAsia" w:hAnsiTheme="minorHAnsi" w:cstheme="minorBidi"/>
          <w:sz w:val="22"/>
          <w:szCs w:val="22"/>
        </w:rPr>
        <w:t>at</w:t>
      </w:r>
      <w:proofErr w:type="gramEnd"/>
      <w:r w:rsidRPr="7F3F34CE">
        <w:rPr>
          <w:rFonts w:asciiTheme="minorHAnsi" w:eastAsiaTheme="minorEastAsia" w:hAnsiTheme="minorHAnsi" w:cstheme="minorBidi"/>
          <w:sz w:val="22"/>
          <w:szCs w:val="22"/>
        </w:rPr>
        <w:t xml:space="preserve"> </w:t>
      </w:r>
      <w:r w:rsidR="005116D2" w:rsidRPr="7F3F34CE">
        <w:rPr>
          <w:rFonts w:asciiTheme="minorHAnsi" w:eastAsiaTheme="minorEastAsia" w:hAnsiTheme="minorHAnsi" w:cstheme="minorBidi"/>
          <w:sz w:val="22"/>
          <w:szCs w:val="22"/>
        </w:rPr>
        <w:t xml:space="preserve">01 </w:t>
      </w:r>
      <w:r w:rsidR="002B515F">
        <w:rPr>
          <w:rFonts w:asciiTheme="minorHAnsi" w:eastAsiaTheme="minorEastAsia" w:hAnsiTheme="minorHAnsi" w:cstheme="minorBidi"/>
          <w:sz w:val="22"/>
          <w:szCs w:val="22"/>
        </w:rPr>
        <w:t>June</w:t>
      </w:r>
      <w:r w:rsidR="005116D2" w:rsidRPr="7F3F34CE">
        <w:rPr>
          <w:rFonts w:asciiTheme="minorHAnsi" w:eastAsiaTheme="minorEastAsia" w:hAnsiTheme="minorHAnsi" w:cstheme="minorBidi"/>
          <w:sz w:val="22"/>
          <w:szCs w:val="22"/>
        </w:rPr>
        <w:t xml:space="preserve"> 202</w:t>
      </w:r>
      <w:r w:rsidR="00AE253B">
        <w:rPr>
          <w:rFonts w:asciiTheme="minorHAnsi" w:eastAsiaTheme="minorEastAsia" w:hAnsiTheme="minorHAnsi" w:cstheme="minorBidi"/>
          <w:sz w:val="22"/>
          <w:szCs w:val="22"/>
        </w:rPr>
        <w:t>4</w:t>
      </w:r>
      <w:r w:rsidR="4FFE2FC9" w:rsidRPr="3498C462">
        <w:rPr>
          <w:rFonts w:asciiTheme="minorHAnsi" w:eastAsiaTheme="minorEastAsia" w:hAnsiTheme="minorHAnsi" w:cstheme="minorBidi"/>
          <w:sz w:val="22"/>
          <w:szCs w:val="22"/>
        </w:rPr>
        <w:t xml:space="preserve"> are set out in the table below</w:t>
      </w:r>
      <w:r w:rsidRPr="004B4FB2">
        <w:rPr>
          <w:rFonts w:asciiTheme="minorHAnsi" w:eastAsiaTheme="minorEastAsia" w:hAnsiTheme="minorHAnsi" w:cstheme="minorBidi"/>
          <w:sz w:val="22"/>
          <w:szCs w:val="22"/>
        </w:rPr>
        <w:t xml:space="preserve">. </w:t>
      </w:r>
    </w:p>
    <w:p w14:paraId="105B7D38" w14:textId="117BFFF0" w:rsidR="00775B6D" w:rsidRPr="004B3AEA" w:rsidRDefault="00775B6D" w:rsidP="00775B6D">
      <w:pPr>
        <w:pStyle w:val="Style1"/>
        <w:rPr>
          <w:rFonts w:asciiTheme="minorHAnsi" w:hAnsiTheme="minorHAnsi" w:cstheme="minorBidi"/>
          <w:b w:val="0"/>
          <w:i/>
          <w:iCs/>
          <w:sz w:val="22"/>
          <w:szCs w:val="22"/>
          <w:vertAlign w:val="superscript"/>
        </w:rPr>
      </w:pPr>
      <w:bookmarkStart w:id="42" w:name="_Toc119406986"/>
      <w:r w:rsidRPr="004B3AEA">
        <w:rPr>
          <w:rFonts w:asciiTheme="minorHAnsi" w:hAnsiTheme="minorHAnsi" w:cstheme="minorBidi"/>
          <w:i/>
          <w:iCs/>
          <w:sz w:val="22"/>
          <w:szCs w:val="22"/>
        </w:rPr>
        <w:t xml:space="preserve">Table </w:t>
      </w:r>
      <w:r w:rsidR="00B31549">
        <w:rPr>
          <w:rFonts w:asciiTheme="minorHAnsi" w:hAnsiTheme="minorHAnsi" w:cstheme="minorBidi"/>
          <w:i/>
          <w:iCs/>
          <w:sz w:val="22"/>
          <w:szCs w:val="22"/>
        </w:rPr>
        <w:fldChar w:fldCharType="begin"/>
      </w:r>
      <w:r w:rsidR="00B31549">
        <w:rPr>
          <w:rFonts w:asciiTheme="minorHAnsi" w:hAnsiTheme="minorHAnsi" w:cstheme="minorBidi"/>
          <w:i/>
          <w:iCs/>
          <w:sz w:val="22"/>
          <w:szCs w:val="22"/>
        </w:rPr>
        <w:instrText xml:space="preserve"> SEQ Table \* ARABIC \* MERGEFORMAT </w:instrText>
      </w:r>
      <w:r w:rsidR="00B31549">
        <w:rPr>
          <w:rFonts w:asciiTheme="minorHAnsi" w:hAnsiTheme="minorHAnsi" w:cstheme="minorBidi"/>
          <w:i/>
          <w:iCs/>
          <w:sz w:val="22"/>
          <w:szCs w:val="22"/>
        </w:rPr>
        <w:fldChar w:fldCharType="separate"/>
      </w:r>
      <w:r w:rsidR="005C7385">
        <w:rPr>
          <w:rFonts w:asciiTheme="minorHAnsi" w:hAnsiTheme="minorHAnsi" w:cstheme="minorBidi"/>
          <w:i/>
          <w:iCs/>
          <w:noProof/>
          <w:sz w:val="22"/>
          <w:szCs w:val="22"/>
        </w:rPr>
        <w:t>2</w:t>
      </w:r>
      <w:r w:rsidR="00B31549">
        <w:rPr>
          <w:rFonts w:asciiTheme="minorHAnsi" w:hAnsiTheme="minorHAnsi" w:cstheme="minorBidi"/>
          <w:i/>
          <w:iCs/>
          <w:sz w:val="22"/>
          <w:szCs w:val="22"/>
        </w:rPr>
        <w:fldChar w:fldCharType="end"/>
      </w:r>
      <w:r w:rsidR="35741263" w:rsidRPr="004B3AEA">
        <w:rPr>
          <w:rFonts w:asciiTheme="minorHAnsi" w:hAnsiTheme="minorHAnsi" w:cstheme="minorBidi"/>
          <w:i/>
          <w:iCs/>
          <w:sz w:val="22"/>
          <w:szCs w:val="22"/>
        </w:rPr>
        <w:t>:</w:t>
      </w:r>
      <w:r w:rsidRPr="004B3AEA">
        <w:rPr>
          <w:rFonts w:asciiTheme="minorHAnsi" w:hAnsiTheme="minorHAnsi" w:cstheme="minorBidi"/>
          <w:i/>
          <w:iCs/>
          <w:sz w:val="22"/>
          <w:szCs w:val="22"/>
        </w:rPr>
        <w:t xml:space="preserve"> Number of Directorships of the members of the Board</w:t>
      </w:r>
      <w:bookmarkEnd w:id="42"/>
    </w:p>
    <w:tbl>
      <w:tblPr>
        <w:tblW w:w="47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3545"/>
        <w:gridCol w:w="2834"/>
      </w:tblGrid>
      <w:tr w:rsidR="00054499" w:rsidRPr="00496FC6" w14:paraId="1F44FD1F" w14:textId="77777777" w:rsidTr="583B6A38">
        <w:trPr>
          <w:trHeight w:val="1006"/>
        </w:trPr>
        <w:tc>
          <w:tcPr>
            <w:tcW w:w="1311" w:type="pct"/>
            <w:shd w:val="clear" w:color="auto" w:fill="C00000"/>
            <w:vAlign w:val="center"/>
          </w:tcPr>
          <w:p w14:paraId="20DF9248" w14:textId="77777777" w:rsidR="005116D2" w:rsidRPr="00496FC6" w:rsidRDefault="005116D2" w:rsidP="006E58D7">
            <w:pPr>
              <w:pStyle w:val="Default"/>
              <w:jc w:val="center"/>
              <w:rPr>
                <w:rFonts w:asciiTheme="minorHAnsi" w:hAnsiTheme="minorHAnsi" w:cstheme="minorHAnsi"/>
                <w:b/>
                <w:color w:val="FFFFFF" w:themeColor="background1"/>
                <w:sz w:val="22"/>
                <w:szCs w:val="22"/>
              </w:rPr>
            </w:pPr>
            <w:r w:rsidRPr="00496FC6">
              <w:rPr>
                <w:rFonts w:asciiTheme="minorHAnsi" w:hAnsiTheme="minorHAnsi" w:cstheme="minorHAnsi"/>
                <w:b/>
                <w:color w:val="FFFFFF" w:themeColor="background1"/>
                <w:sz w:val="22"/>
                <w:szCs w:val="22"/>
              </w:rPr>
              <w:t>Name of Director</w:t>
            </w:r>
          </w:p>
        </w:tc>
        <w:tc>
          <w:tcPr>
            <w:tcW w:w="2050" w:type="pct"/>
            <w:shd w:val="clear" w:color="auto" w:fill="C00000"/>
            <w:vAlign w:val="center"/>
          </w:tcPr>
          <w:p w14:paraId="3BFB8BD4" w14:textId="44F9B268" w:rsidR="005116D2" w:rsidRPr="00496FC6" w:rsidRDefault="2784C42A" w:rsidP="006E58D7">
            <w:pPr>
              <w:pStyle w:val="Default"/>
              <w:jc w:val="center"/>
              <w:rPr>
                <w:rFonts w:asciiTheme="minorHAnsi" w:hAnsiTheme="minorHAnsi" w:cstheme="minorBidi"/>
                <w:b/>
                <w:color w:val="FFFFFF" w:themeColor="background1"/>
                <w:sz w:val="22"/>
                <w:szCs w:val="22"/>
              </w:rPr>
            </w:pPr>
            <w:r w:rsidRPr="3498C462">
              <w:rPr>
                <w:rFonts w:asciiTheme="minorHAnsi" w:hAnsiTheme="minorHAnsi" w:cstheme="minorBidi"/>
                <w:b/>
                <w:bCs/>
                <w:color w:val="FFFFFF" w:themeColor="background1"/>
                <w:sz w:val="22"/>
                <w:szCs w:val="22"/>
              </w:rPr>
              <w:t xml:space="preserve">Role </w:t>
            </w:r>
          </w:p>
        </w:tc>
        <w:tc>
          <w:tcPr>
            <w:tcW w:w="1639" w:type="pct"/>
            <w:shd w:val="clear" w:color="auto" w:fill="C00000"/>
            <w:vAlign w:val="center"/>
          </w:tcPr>
          <w:p w14:paraId="3C301C48" w14:textId="6DB84329" w:rsidR="005116D2" w:rsidRPr="00496FC6" w:rsidRDefault="005116D2" w:rsidP="005116D2">
            <w:pPr>
              <w:pStyle w:val="Default"/>
              <w:jc w:val="center"/>
              <w:rPr>
                <w:rFonts w:asciiTheme="minorHAnsi" w:hAnsiTheme="minorHAnsi" w:cstheme="minorBidi"/>
                <w:b/>
                <w:color w:val="FFFFFF" w:themeColor="background1"/>
                <w:sz w:val="22"/>
                <w:szCs w:val="22"/>
              </w:rPr>
            </w:pPr>
            <w:r w:rsidRPr="3498C462">
              <w:rPr>
                <w:rFonts w:asciiTheme="minorHAnsi" w:hAnsiTheme="minorHAnsi" w:cstheme="minorBidi"/>
                <w:b/>
                <w:color w:val="FFFFFF" w:themeColor="background1"/>
                <w:sz w:val="22"/>
                <w:szCs w:val="22"/>
              </w:rPr>
              <w:t xml:space="preserve">Number of External Directorships </w:t>
            </w:r>
            <w:r w:rsidR="7352542F" w:rsidRPr="3498C462">
              <w:rPr>
                <w:rFonts w:asciiTheme="minorHAnsi" w:hAnsiTheme="minorHAnsi" w:cstheme="minorBidi"/>
                <w:b/>
                <w:bCs/>
                <w:color w:val="FFFFFF" w:themeColor="background1"/>
                <w:sz w:val="22"/>
                <w:szCs w:val="22"/>
              </w:rPr>
              <w:t xml:space="preserve">(for </w:t>
            </w:r>
            <w:r w:rsidR="00DD4053">
              <w:rPr>
                <w:rFonts w:asciiTheme="minorHAnsi" w:hAnsiTheme="minorHAnsi" w:cstheme="minorBidi"/>
                <w:b/>
                <w:bCs/>
                <w:color w:val="FFFFFF" w:themeColor="background1"/>
                <w:sz w:val="22"/>
                <w:szCs w:val="22"/>
              </w:rPr>
              <w:t xml:space="preserve">active </w:t>
            </w:r>
            <w:r w:rsidR="7352542F" w:rsidRPr="3498C462">
              <w:rPr>
                <w:rFonts w:asciiTheme="minorHAnsi" w:hAnsiTheme="minorHAnsi" w:cstheme="minorBidi"/>
                <w:b/>
                <w:bCs/>
                <w:color w:val="FFFFFF" w:themeColor="background1"/>
                <w:sz w:val="22"/>
                <w:szCs w:val="22"/>
              </w:rPr>
              <w:t>profit organisations only)</w:t>
            </w:r>
            <w:r w:rsidR="3B1F6D1F" w:rsidRPr="3498C462">
              <w:rPr>
                <w:rFonts w:asciiTheme="minorHAnsi" w:hAnsiTheme="minorHAnsi" w:cstheme="minorBidi"/>
                <w:b/>
                <w:bCs/>
                <w:color w:val="FFFFFF" w:themeColor="background1"/>
                <w:sz w:val="22"/>
                <w:szCs w:val="22"/>
              </w:rPr>
              <w:t xml:space="preserve"> </w:t>
            </w:r>
          </w:p>
        </w:tc>
      </w:tr>
      <w:tr w:rsidR="005116D2" w:rsidRPr="00F630D9" w14:paraId="7B5005FB" w14:textId="77777777" w:rsidTr="583B6A38">
        <w:trPr>
          <w:trHeight w:val="321"/>
        </w:trPr>
        <w:tc>
          <w:tcPr>
            <w:tcW w:w="1311" w:type="pct"/>
            <w:shd w:val="clear" w:color="auto" w:fill="auto"/>
            <w:vAlign w:val="center"/>
          </w:tcPr>
          <w:p w14:paraId="34AF549F" w14:textId="476A56BC" w:rsidR="005116D2" w:rsidRPr="00D559F3" w:rsidRDefault="00CD73EF" w:rsidP="003533DE">
            <w:pPr>
              <w:pStyle w:val="Default"/>
              <w:rPr>
                <w:rFonts w:asciiTheme="minorHAnsi" w:hAnsiTheme="minorHAnsi" w:cstheme="minorHAnsi"/>
                <w:sz w:val="22"/>
                <w:szCs w:val="22"/>
              </w:rPr>
            </w:pPr>
            <w:r w:rsidRPr="00D559F3">
              <w:rPr>
                <w:rFonts w:asciiTheme="minorHAnsi" w:hAnsiTheme="minorHAnsi" w:cstheme="minorHAnsi"/>
                <w:sz w:val="22"/>
                <w:szCs w:val="22"/>
              </w:rPr>
              <w:t>J Reinsb</w:t>
            </w:r>
            <w:r w:rsidR="00F17A6C" w:rsidRPr="00D559F3">
              <w:rPr>
                <w:rFonts w:asciiTheme="minorHAnsi" w:hAnsiTheme="minorHAnsi" w:cstheme="minorHAnsi"/>
                <w:sz w:val="22"/>
                <w:szCs w:val="22"/>
              </w:rPr>
              <w:t>erg</w:t>
            </w:r>
          </w:p>
        </w:tc>
        <w:tc>
          <w:tcPr>
            <w:tcW w:w="2050" w:type="pct"/>
            <w:shd w:val="clear" w:color="auto" w:fill="auto"/>
          </w:tcPr>
          <w:p w14:paraId="454E20BE" w14:textId="5230E6B0" w:rsidR="005116D2" w:rsidRPr="00D559F3" w:rsidRDefault="00900552" w:rsidP="003533DE">
            <w:pPr>
              <w:pStyle w:val="Default"/>
              <w:jc w:val="center"/>
              <w:rPr>
                <w:rFonts w:asciiTheme="minorHAnsi" w:hAnsiTheme="minorHAnsi" w:cstheme="minorHAnsi"/>
                <w:sz w:val="22"/>
                <w:szCs w:val="22"/>
              </w:rPr>
            </w:pPr>
            <w:r w:rsidRPr="00D559F3">
              <w:rPr>
                <w:rFonts w:asciiTheme="minorHAnsi" w:hAnsiTheme="minorHAnsi" w:cstheme="minorHAnsi"/>
                <w:sz w:val="22"/>
                <w:szCs w:val="22"/>
              </w:rPr>
              <w:t>Head of International and Global Equities and Fixed Income, Deputy Chairman</w:t>
            </w:r>
          </w:p>
        </w:tc>
        <w:tc>
          <w:tcPr>
            <w:tcW w:w="1639" w:type="pct"/>
            <w:shd w:val="clear" w:color="auto" w:fill="auto"/>
            <w:vAlign w:val="center"/>
          </w:tcPr>
          <w:p w14:paraId="614AEFB7" w14:textId="6167370A" w:rsidR="005116D2" w:rsidRPr="00D559F3" w:rsidRDefault="00AF15EB" w:rsidP="003533DE">
            <w:pPr>
              <w:pStyle w:val="Default"/>
              <w:jc w:val="center"/>
              <w:rPr>
                <w:rFonts w:asciiTheme="minorHAnsi" w:hAnsiTheme="minorHAnsi" w:cstheme="minorHAnsi"/>
                <w:sz w:val="22"/>
                <w:szCs w:val="22"/>
              </w:rPr>
            </w:pPr>
            <w:r>
              <w:rPr>
                <w:rFonts w:asciiTheme="minorHAnsi" w:hAnsiTheme="minorHAnsi" w:cstheme="minorHAnsi"/>
                <w:sz w:val="22"/>
                <w:szCs w:val="22"/>
              </w:rPr>
              <w:t>1</w:t>
            </w:r>
          </w:p>
        </w:tc>
      </w:tr>
      <w:tr w:rsidR="005116D2" w:rsidRPr="00F630D9" w14:paraId="7F8E8E2B" w14:textId="77777777" w:rsidTr="583B6A38">
        <w:trPr>
          <w:trHeight w:val="321"/>
        </w:trPr>
        <w:tc>
          <w:tcPr>
            <w:tcW w:w="1311" w:type="pct"/>
            <w:shd w:val="clear" w:color="auto" w:fill="auto"/>
            <w:vAlign w:val="center"/>
          </w:tcPr>
          <w:p w14:paraId="48027966" w14:textId="5CE0E6FA" w:rsidR="005116D2" w:rsidRPr="00F630D9" w:rsidRDefault="00CD73EF" w:rsidP="003533DE">
            <w:pPr>
              <w:pStyle w:val="Default"/>
              <w:rPr>
                <w:rFonts w:asciiTheme="minorHAnsi" w:hAnsiTheme="minorHAnsi" w:cstheme="minorHAnsi"/>
                <w:sz w:val="22"/>
                <w:szCs w:val="22"/>
              </w:rPr>
            </w:pPr>
            <w:r w:rsidRPr="00F630D9">
              <w:rPr>
                <w:rFonts w:asciiTheme="minorHAnsi" w:hAnsiTheme="minorHAnsi" w:cstheme="minorHAnsi"/>
                <w:sz w:val="22"/>
                <w:szCs w:val="22"/>
              </w:rPr>
              <w:t>N A Paul</w:t>
            </w:r>
          </w:p>
        </w:tc>
        <w:tc>
          <w:tcPr>
            <w:tcW w:w="2050" w:type="pct"/>
            <w:shd w:val="clear" w:color="auto" w:fill="auto"/>
          </w:tcPr>
          <w:p w14:paraId="21F82AC7" w14:textId="3C09B13C" w:rsidR="005116D2" w:rsidRPr="00F630D9" w:rsidRDefault="00D549F9" w:rsidP="003533DE">
            <w:pPr>
              <w:pStyle w:val="Default"/>
              <w:jc w:val="center"/>
              <w:rPr>
                <w:rFonts w:asciiTheme="minorHAnsi" w:hAnsiTheme="minorHAnsi" w:cstheme="minorHAnsi"/>
                <w:sz w:val="22"/>
                <w:szCs w:val="22"/>
              </w:rPr>
            </w:pPr>
            <w:r w:rsidRPr="00F630D9">
              <w:rPr>
                <w:rFonts w:asciiTheme="minorHAnsi" w:hAnsiTheme="minorHAnsi" w:cstheme="minorHAnsi"/>
                <w:sz w:val="22"/>
                <w:szCs w:val="22"/>
              </w:rPr>
              <w:t>Vice Chair and Chief Operating Officer</w:t>
            </w:r>
            <w:r w:rsidR="00C2094B" w:rsidRPr="00F630D9">
              <w:rPr>
                <w:rFonts w:asciiTheme="minorHAnsi" w:hAnsiTheme="minorHAnsi" w:cstheme="minorHAnsi"/>
                <w:sz w:val="22"/>
                <w:szCs w:val="22"/>
              </w:rPr>
              <w:t xml:space="preserve"> of Lazard Asset Management</w:t>
            </w:r>
          </w:p>
        </w:tc>
        <w:tc>
          <w:tcPr>
            <w:tcW w:w="1639" w:type="pct"/>
            <w:shd w:val="clear" w:color="auto" w:fill="auto"/>
            <w:vAlign w:val="center"/>
          </w:tcPr>
          <w:p w14:paraId="488DDD46" w14:textId="29C07BE4" w:rsidR="005116D2" w:rsidRPr="00F630D9" w:rsidRDefault="00990A24" w:rsidP="003533DE">
            <w:pPr>
              <w:pStyle w:val="Default"/>
              <w:jc w:val="center"/>
              <w:rPr>
                <w:rFonts w:asciiTheme="minorHAnsi" w:hAnsiTheme="minorHAnsi" w:cstheme="minorBidi"/>
                <w:sz w:val="22"/>
                <w:szCs w:val="22"/>
              </w:rPr>
            </w:pPr>
            <w:r w:rsidRPr="00F630D9">
              <w:rPr>
                <w:rFonts w:asciiTheme="minorHAnsi" w:hAnsiTheme="minorHAnsi" w:cstheme="minorBidi"/>
                <w:sz w:val="22"/>
                <w:szCs w:val="22"/>
              </w:rPr>
              <w:t>0</w:t>
            </w:r>
          </w:p>
        </w:tc>
      </w:tr>
      <w:tr w:rsidR="00A5133D" w:rsidRPr="00F630D9" w14:paraId="3281B7B8" w14:textId="77777777" w:rsidTr="583B6A38">
        <w:trPr>
          <w:trHeight w:val="321"/>
        </w:trPr>
        <w:tc>
          <w:tcPr>
            <w:tcW w:w="1311" w:type="pct"/>
            <w:shd w:val="clear" w:color="auto" w:fill="auto"/>
            <w:vAlign w:val="center"/>
          </w:tcPr>
          <w:p w14:paraId="28107853" w14:textId="027E4CFD" w:rsidR="0017217F" w:rsidRPr="00F630D9" w:rsidRDefault="00CD73EF" w:rsidP="0017217F">
            <w:pPr>
              <w:pStyle w:val="Default"/>
              <w:rPr>
                <w:rFonts w:asciiTheme="minorHAnsi" w:hAnsiTheme="minorHAnsi" w:cstheme="minorHAnsi"/>
                <w:sz w:val="22"/>
                <w:szCs w:val="22"/>
              </w:rPr>
            </w:pPr>
            <w:r w:rsidRPr="00F630D9">
              <w:rPr>
                <w:rFonts w:asciiTheme="minorHAnsi" w:hAnsiTheme="minorHAnsi" w:cstheme="minorHAnsi"/>
                <w:sz w:val="22"/>
                <w:szCs w:val="22"/>
              </w:rPr>
              <w:t>J M Taylor</w:t>
            </w:r>
          </w:p>
        </w:tc>
        <w:tc>
          <w:tcPr>
            <w:tcW w:w="2050" w:type="pct"/>
            <w:shd w:val="clear" w:color="auto" w:fill="auto"/>
            <w:vAlign w:val="center"/>
          </w:tcPr>
          <w:p w14:paraId="1AE4D2A2" w14:textId="1C38972D" w:rsidR="0017217F" w:rsidRPr="00F630D9" w:rsidRDefault="007B2F0F" w:rsidP="0017217F">
            <w:pPr>
              <w:pStyle w:val="Default"/>
              <w:jc w:val="center"/>
              <w:rPr>
                <w:rFonts w:asciiTheme="minorHAnsi" w:hAnsiTheme="minorHAnsi" w:cstheme="minorHAnsi"/>
                <w:sz w:val="22"/>
                <w:szCs w:val="22"/>
              </w:rPr>
            </w:pPr>
            <w:r w:rsidRPr="00F630D9">
              <w:rPr>
                <w:rFonts w:asciiTheme="minorHAnsi" w:hAnsiTheme="minorHAnsi" w:cstheme="minorHAnsi"/>
                <w:sz w:val="22"/>
                <w:szCs w:val="22"/>
              </w:rPr>
              <w:t>CEO of Lazard Asset Management London</w:t>
            </w:r>
          </w:p>
        </w:tc>
        <w:tc>
          <w:tcPr>
            <w:tcW w:w="1639" w:type="pct"/>
            <w:shd w:val="clear" w:color="auto" w:fill="auto"/>
            <w:vAlign w:val="center"/>
          </w:tcPr>
          <w:p w14:paraId="57715975" w14:textId="23B2743C" w:rsidR="0017217F" w:rsidRPr="00F630D9" w:rsidRDefault="00CA57AC" w:rsidP="0017217F">
            <w:pPr>
              <w:pStyle w:val="Default"/>
              <w:jc w:val="center"/>
              <w:rPr>
                <w:rFonts w:asciiTheme="minorHAnsi" w:hAnsiTheme="minorHAnsi" w:cstheme="minorHAnsi"/>
                <w:sz w:val="22"/>
                <w:szCs w:val="22"/>
              </w:rPr>
            </w:pPr>
            <w:r w:rsidRPr="00F630D9">
              <w:rPr>
                <w:rFonts w:asciiTheme="minorHAnsi" w:hAnsiTheme="minorHAnsi" w:cstheme="minorHAnsi"/>
                <w:sz w:val="22"/>
                <w:szCs w:val="22"/>
              </w:rPr>
              <w:t>3</w:t>
            </w:r>
          </w:p>
        </w:tc>
      </w:tr>
      <w:tr w:rsidR="005116D2" w:rsidRPr="00F630D9" w14:paraId="279688B4" w14:textId="77777777" w:rsidTr="583B6A38">
        <w:trPr>
          <w:trHeight w:val="321"/>
        </w:trPr>
        <w:tc>
          <w:tcPr>
            <w:tcW w:w="1311" w:type="pct"/>
            <w:shd w:val="clear" w:color="auto" w:fill="auto"/>
            <w:vAlign w:val="center"/>
          </w:tcPr>
          <w:p w14:paraId="1AF0F4A5" w14:textId="6B100E71" w:rsidR="005116D2" w:rsidRPr="00F630D9" w:rsidRDefault="00CD73EF" w:rsidP="003533DE">
            <w:pPr>
              <w:pStyle w:val="Default"/>
              <w:rPr>
                <w:rFonts w:asciiTheme="minorHAnsi" w:hAnsiTheme="minorHAnsi" w:cstheme="minorHAnsi"/>
                <w:sz w:val="22"/>
                <w:szCs w:val="22"/>
              </w:rPr>
            </w:pPr>
            <w:r w:rsidRPr="00F630D9">
              <w:rPr>
                <w:rFonts w:asciiTheme="minorHAnsi" w:hAnsiTheme="minorHAnsi" w:cstheme="minorHAnsi"/>
                <w:sz w:val="22"/>
                <w:szCs w:val="22"/>
              </w:rPr>
              <w:t xml:space="preserve">N I </w:t>
            </w:r>
            <w:proofErr w:type="spellStart"/>
            <w:r w:rsidRPr="00F630D9">
              <w:rPr>
                <w:rFonts w:asciiTheme="minorHAnsi" w:hAnsiTheme="minorHAnsi" w:cstheme="minorHAnsi"/>
                <w:sz w:val="22"/>
                <w:szCs w:val="22"/>
              </w:rPr>
              <w:t>Emmins</w:t>
            </w:r>
            <w:proofErr w:type="spellEnd"/>
          </w:p>
        </w:tc>
        <w:tc>
          <w:tcPr>
            <w:tcW w:w="2050" w:type="pct"/>
            <w:shd w:val="clear" w:color="auto" w:fill="auto"/>
          </w:tcPr>
          <w:p w14:paraId="28E61C82" w14:textId="2373B239" w:rsidR="005116D2" w:rsidRPr="00F630D9" w:rsidRDefault="00823BDD" w:rsidP="003533DE">
            <w:pPr>
              <w:pStyle w:val="Default"/>
              <w:jc w:val="center"/>
              <w:rPr>
                <w:rFonts w:asciiTheme="minorHAnsi" w:hAnsiTheme="minorHAnsi" w:cstheme="minorHAnsi"/>
                <w:sz w:val="22"/>
                <w:szCs w:val="22"/>
              </w:rPr>
            </w:pPr>
            <w:r w:rsidRPr="00F630D9">
              <w:rPr>
                <w:rFonts w:asciiTheme="minorHAnsi" w:hAnsiTheme="minorHAnsi" w:cstheme="minorHAnsi"/>
                <w:sz w:val="22"/>
                <w:szCs w:val="22"/>
              </w:rPr>
              <w:t>Non-Executive Director of Lazard Fund Manager</w:t>
            </w:r>
            <w:r w:rsidR="00F630D9" w:rsidRPr="00F630D9">
              <w:rPr>
                <w:rFonts w:asciiTheme="minorHAnsi" w:hAnsiTheme="minorHAnsi" w:cstheme="minorHAnsi"/>
                <w:sz w:val="22"/>
                <w:szCs w:val="22"/>
              </w:rPr>
              <w:t>s Limited</w:t>
            </w:r>
          </w:p>
        </w:tc>
        <w:tc>
          <w:tcPr>
            <w:tcW w:w="1639" w:type="pct"/>
            <w:shd w:val="clear" w:color="auto" w:fill="auto"/>
            <w:vAlign w:val="center"/>
          </w:tcPr>
          <w:p w14:paraId="1EE07468" w14:textId="723FAD9D" w:rsidR="005116D2" w:rsidRPr="00F630D9" w:rsidRDefault="0056719A" w:rsidP="003533DE">
            <w:pPr>
              <w:pStyle w:val="Default"/>
              <w:jc w:val="center"/>
              <w:rPr>
                <w:rFonts w:asciiTheme="minorHAnsi" w:hAnsiTheme="minorHAnsi" w:cstheme="minorHAnsi"/>
                <w:sz w:val="22"/>
                <w:szCs w:val="22"/>
              </w:rPr>
            </w:pPr>
            <w:r w:rsidRPr="00F630D9">
              <w:rPr>
                <w:rFonts w:asciiTheme="minorHAnsi" w:hAnsiTheme="minorHAnsi" w:cstheme="minorHAnsi"/>
                <w:sz w:val="22"/>
                <w:szCs w:val="22"/>
              </w:rPr>
              <w:t>2</w:t>
            </w:r>
          </w:p>
        </w:tc>
      </w:tr>
      <w:tr w:rsidR="005116D2" w:rsidRPr="00F630D9" w14:paraId="5E55DACB" w14:textId="77777777" w:rsidTr="583B6A38">
        <w:trPr>
          <w:trHeight w:val="321"/>
        </w:trPr>
        <w:tc>
          <w:tcPr>
            <w:tcW w:w="1311" w:type="pct"/>
            <w:shd w:val="clear" w:color="auto" w:fill="auto"/>
            <w:vAlign w:val="center"/>
          </w:tcPr>
          <w:p w14:paraId="550716AA" w14:textId="0AE4EA01" w:rsidR="005116D2" w:rsidRPr="00F630D9" w:rsidRDefault="00D13B30" w:rsidP="003533DE">
            <w:pPr>
              <w:pStyle w:val="Default"/>
              <w:rPr>
                <w:rFonts w:asciiTheme="minorHAnsi" w:hAnsiTheme="minorHAnsi" w:cstheme="minorHAnsi"/>
                <w:sz w:val="22"/>
                <w:szCs w:val="22"/>
              </w:rPr>
            </w:pPr>
            <w:r w:rsidRPr="00F630D9">
              <w:rPr>
                <w:rFonts w:asciiTheme="minorHAnsi" w:hAnsiTheme="minorHAnsi" w:cstheme="minorHAnsi"/>
                <w:sz w:val="22"/>
                <w:szCs w:val="22"/>
              </w:rPr>
              <w:t>T</w:t>
            </w:r>
            <w:r w:rsidR="008E1357">
              <w:rPr>
                <w:rFonts w:asciiTheme="minorHAnsi" w:hAnsiTheme="minorHAnsi" w:cstheme="minorHAnsi"/>
                <w:sz w:val="22"/>
                <w:szCs w:val="22"/>
              </w:rPr>
              <w:t xml:space="preserve"> D W</w:t>
            </w:r>
            <w:r w:rsidRPr="00F630D9">
              <w:rPr>
                <w:rFonts w:asciiTheme="minorHAnsi" w:hAnsiTheme="minorHAnsi" w:cstheme="minorHAnsi"/>
                <w:sz w:val="22"/>
                <w:szCs w:val="22"/>
              </w:rPr>
              <w:t xml:space="preserve"> Springhall</w:t>
            </w:r>
          </w:p>
        </w:tc>
        <w:tc>
          <w:tcPr>
            <w:tcW w:w="2050" w:type="pct"/>
            <w:shd w:val="clear" w:color="auto" w:fill="auto"/>
            <w:vAlign w:val="center"/>
          </w:tcPr>
          <w:p w14:paraId="0BFD5738" w14:textId="52FEC7D4" w:rsidR="005116D2" w:rsidRPr="00F630D9" w:rsidRDefault="00D13B30" w:rsidP="003533DE">
            <w:pPr>
              <w:pStyle w:val="Default"/>
              <w:jc w:val="center"/>
              <w:rPr>
                <w:rFonts w:asciiTheme="minorHAnsi" w:hAnsiTheme="minorHAnsi" w:cstheme="minorHAnsi"/>
                <w:sz w:val="22"/>
                <w:szCs w:val="22"/>
              </w:rPr>
            </w:pPr>
            <w:r w:rsidRPr="00F630D9">
              <w:rPr>
                <w:rFonts w:asciiTheme="minorHAnsi" w:hAnsiTheme="minorHAnsi" w:cstheme="minorHAnsi"/>
                <w:sz w:val="22"/>
                <w:szCs w:val="22"/>
              </w:rPr>
              <w:t>Executive Director, Head of Finance</w:t>
            </w:r>
          </w:p>
        </w:tc>
        <w:tc>
          <w:tcPr>
            <w:tcW w:w="1639" w:type="pct"/>
            <w:shd w:val="clear" w:color="auto" w:fill="auto"/>
            <w:vAlign w:val="center"/>
          </w:tcPr>
          <w:p w14:paraId="1107C28F" w14:textId="101FD364" w:rsidR="005116D2" w:rsidRPr="00F630D9" w:rsidRDefault="00D13B30" w:rsidP="003533DE">
            <w:pPr>
              <w:pStyle w:val="Default"/>
              <w:jc w:val="center"/>
              <w:rPr>
                <w:rFonts w:asciiTheme="minorHAnsi" w:hAnsiTheme="minorHAnsi" w:cstheme="minorHAnsi"/>
                <w:sz w:val="22"/>
                <w:szCs w:val="22"/>
              </w:rPr>
            </w:pPr>
            <w:r w:rsidRPr="00F630D9">
              <w:rPr>
                <w:rFonts w:asciiTheme="minorHAnsi" w:hAnsiTheme="minorHAnsi" w:cstheme="minorHAnsi"/>
                <w:sz w:val="22"/>
                <w:szCs w:val="22"/>
              </w:rPr>
              <w:t>0</w:t>
            </w:r>
          </w:p>
        </w:tc>
      </w:tr>
      <w:tr w:rsidR="00D13B30" w:rsidRPr="00496FC6" w14:paraId="4158B191" w14:textId="77777777" w:rsidTr="583B6A38">
        <w:trPr>
          <w:trHeight w:val="321"/>
        </w:trPr>
        <w:tc>
          <w:tcPr>
            <w:tcW w:w="1311" w:type="pct"/>
            <w:shd w:val="clear" w:color="auto" w:fill="auto"/>
            <w:vAlign w:val="center"/>
          </w:tcPr>
          <w:p w14:paraId="2C70976B" w14:textId="7E27B6F9" w:rsidR="00D13B30" w:rsidRPr="00F630D9" w:rsidRDefault="00F20FFF" w:rsidP="003533DE">
            <w:pPr>
              <w:pStyle w:val="Default"/>
              <w:rPr>
                <w:rFonts w:asciiTheme="minorHAnsi" w:hAnsiTheme="minorHAnsi" w:cstheme="minorHAnsi"/>
                <w:sz w:val="22"/>
                <w:szCs w:val="22"/>
              </w:rPr>
            </w:pPr>
            <w:r w:rsidRPr="00F630D9">
              <w:rPr>
                <w:rFonts w:asciiTheme="minorHAnsi" w:hAnsiTheme="minorHAnsi" w:cstheme="minorHAnsi"/>
                <w:sz w:val="22"/>
                <w:szCs w:val="22"/>
              </w:rPr>
              <w:t xml:space="preserve">H V </w:t>
            </w:r>
            <w:proofErr w:type="spellStart"/>
            <w:r w:rsidRPr="00F630D9">
              <w:rPr>
                <w:rFonts w:asciiTheme="minorHAnsi" w:hAnsiTheme="minorHAnsi" w:cstheme="minorHAnsi"/>
                <w:sz w:val="22"/>
                <w:szCs w:val="22"/>
              </w:rPr>
              <w:t>Tseayo</w:t>
            </w:r>
            <w:proofErr w:type="spellEnd"/>
          </w:p>
        </w:tc>
        <w:tc>
          <w:tcPr>
            <w:tcW w:w="2050" w:type="pct"/>
            <w:shd w:val="clear" w:color="auto" w:fill="auto"/>
            <w:vAlign w:val="center"/>
          </w:tcPr>
          <w:p w14:paraId="766D9F10" w14:textId="393230E0" w:rsidR="00D13B30" w:rsidRPr="00F630D9" w:rsidRDefault="00823BDD" w:rsidP="003533DE">
            <w:pPr>
              <w:pStyle w:val="Default"/>
              <w:jc w:val="center"/>
              <w:rPr>
                <w:rFonts w:asciiTheme="minorHAnsi" w:hAnsiTheme="minorHAnsi" w:cstheme="minorHAnsi"/>
                <w:sz w:val="22"/>
                <w:szCs w:val="22"/>
              </w:rPr>
            </w:pPr>
            <w:r w:rsidRPr="00F630D9">
              <w:rPr>
                <w:rFonts w:asciiTheme="minorHAnsi" w:hAnsiTheme="minorHAnsi" w:cstheme="minorHAnsi"/>
                <w:sz w:val="22"/>
                <w:szCs w:val="22"/>
              </w:rPr>
              <w:t xml:space="preserve">Non-Executive Director of </w:t>
            </w:r>
            <w:r w:rsidR="00F630D9" w:rsidRPr="00F630D9">
              <w:rPr>
                <w:rFonts w:asciiTheme="minorHAnsi" w:hAnsiTheme="minorHAnsi" w:cstheme="minorHAnsi"/>
                <w:sz w:val="22"/>
                <w:szCs w:val="22"/>
              </w:rPr>
              <w:t>Lazard Fund Managers Limited</w:t>
            </w:r>
          </w:p>
        </w:tc>
        <w:tc>
          <w:tcPr>
            <w:tcW w:w="1639" w:type="pct"/>
            <w:shd w:val="clear" w:color="auto" w:fill="auto"/>
            <w:vAlign w:val="center"/>
          </w:tcPr>
          <w:p w14:paraId="667C15AE" w14:textId="1021D9EC" w:rsidR="00D13B30" w:rsidRPr="00F630D9" w:rsidRDefault="00CA57AC" w:rsidP="003533DE">
            <w:pPr>
              <w:pStyle w:val="Default"/>
              <w:jc w:val="center"/>
              <w:rPr>
                <w:rFonts w:asciiTheme="minorHAnsi" w:hAnsiTheme="minorHAnsi" w:cstheme="minorHAnsi"/>
                <w:sz w:val="22"/>
                <w:szCs w:val="22"/>
              </w:rPr>
            </w:pPr>
            <w:r w:rsidRPr="00F630D9">
              <w:rPr>
                <w:rFonts w:asciiTheme="minorHAnsi" w:hAnsiTheme="minorHAnsi" w:cstheme="minorHAnsi"/>
                <w:sz w:val="22"/>
                <w:szCs w:val="22"/>
              </w:rPr>
              <w:t>1</w:t>
            </w:r>
          </w:p>
        </w:tc>
      </w:tr>
      <w:tr w:rsidR="00AE253B" w:rsidRPr="00496FC6" w14:paraId="2CB8963F" w14:textId="77777777" w:rsidTr="583B6A38">
        <w:trPr>
          <w:trHeight w:val="321"/>
        </w:trPr>
        <w:tc>
          <w:tcPr>
            <w:tcW w:w="1311" w:type="pct"/>
            <w:shd w:val="clear" w:color="auto" w:fill="auto"/>
            <w:vAlign w:val="center"/>
          </w:tcPr>
          <w:p w14:paraId="6A3E268E" w14:textId="71F41BA7" w:rsidR="00AE253B" w:rsidRPr="003A618F" w:rsidRDefault="00AE253B" w:rsidP="003533DE">
            <w:pPr>
              <w:pStyle w:val="Default"/>
              <w:rPr>
                <w:rFonts w:asciiTheme="minorHAnsi" w:hAnsiTheme="minorHAnsi" w:cstheme="minorHAnsi"/>
                <w:sz w:val="22"/>
                <w:szCs w:val="22"/>
              </w:rPr>
            </w:pPr>
            <w:r w:rsidRPr="003A618F">
              <w:rPr>
                <w:rFonts w:asciiTheme="minorHAnsi" w:hAnsiTheme="minorHAnsi" w:cstheme="minorHAnsi"/>
                <w:sz w:val="22"/>
                <w:szCs w:val="22"/>
              </w:rPr>
              <w:t xml:space="preserve">M A Bennett </w:t>
            </w:r>
          </w:p>
        </w:tc>
        <w:tc>
          <w:tcPr>
            <w:tcW w:w="2050" w:type="pct"/>
            <w:shd w:val="clear" w:color="auto" w:fill="auto"/>
            <w:vAlign w:val="center"/>
          </w:tcPr>
          <w:p w14:paraId="6D5A042D" w14:textId="25FE02F0" w:rsidR="00AE253B" w:rsidRPr="003A618F" w:rsidRDefault="00AE253B" w:rsidP="003533DE">
            <w:pPr>
              <w:pStyle w:val="Default"/>
              <w:jc w:val="center"/>
              <w:rPr>
                <w:rFonts w:asciiTheme="minorHAnsi" w:hAnsiTheme="minorHAnsi" w:cstheme="minorHAnsi"/>
                <w:sz w:val="22"/>
                <w:szCs w:val="22"/>
              </w:rPr>
            </w:pPr>
            <w:r w:rsidRPr="003A618F">
              <w:rPr>
                <w:rFonts w:asciiTheme="minorHAnsi" w:hAnsiTheme="minorHAnsi" w:cstheme="minorHAnsi"/>
                <w:sz w:val="22"/>
                <w:szCs w:val="22"/>
              </w:rPr>
              <w:t xml:space="preserve">Executive Director of Lazard Asset Management London </w:t>
            </w:r>
          </w:p>
        </w:tc>
        <w:tc>
          <w:tcPr>
            <w:tcW w:w="1639" w:type="pct"/>
            <w:shd w:val="clear" w:color="auto" w:fill="auto"/>
            <w:vAlign w:val="center"/>
          </w:tcPr>
          <w:p w14:paraId="315F3673" w14:textId="3CD5CCCE" w:rsidR="00AE253B" w:rsidRPr="003A618F" w:rsidRDefault="00AE253B" w:rsidP="003533DE">
            <w:pPr>
              <w:pStyle w:val="Default"/>
              <w:jc w:val="center"/>
              <w:rPr>
                <w:rFonts w:asciiTheme="minorHAnsi" w:hAnsiTheme="minorHAnsi" w:cstheme="minorHAnsi"/>
                <w:sz w:val="22"/>
                <w:szCs w:val="22"/>
              </w:rPr>
            </w:pPr>
            <w:r w:rsidRPr="003A618F">
              <w:rPr>
                <w:rFonts w:asciiTheme="minorHAnsi" w:hAnsiTheme="minorHAnsi" w:cstheme="minorHAnsi"/>
                <w:sz w:val="22"/>
                <w:szCs w:val="22"/>
              </w:rPr>
              <w:t>0</w:t>
            </w:r>
          </w:p>
        </w:tc>
      </w:tr>
    </w:tbl>
    <w:p w14:paraId="49F76359" w14:textId="77777777" w:rsidR="006D6925" w:rsidRDefault="006D6925" w:rsidP="00775B6D">
      <w:pPr>
        <w:pStyle w:val="Default"/>
        <w:tabs>
          <w:tab w:val="left" w:pos="1260"/>
        </w:tabs>
        <w:jc w:val="both"/>
        <w:rPr>
          <w:rFonts w:asciiTheme="minorHAnsi" w:hAnsiTheme="minorHAnsi" w:cstheme="minorHAnsi"/>
          <w:sz w:val="22"/>
          <w:szCs w:val="22"/>
        </w:rPr>
      </w:pPr>
    </w:p>
    <w:p w14:paraId="77B405A9" w14:textId="3339C2EA" w:rsidR="00775B6D" w:rsidRPr="00496FC6" w:rsidRDefault="00775B6D" w:rsidP="00775B6D">
      <w:pPr>
        <w:pStyle w:val="Default"/>
        <w:tabs>
          <w:tab w:val="left" w:pos="1260"/>
        </w:tabs>
        <w:jc w:val="both"/>
        <w:rPr>
          <w:rFonts w:asciiTheme="minorHAnsi" w:hAnsiTheme="minorHAnsi" w:cstheme="minorHAnsi"/>
          <w:sz w:val="22"/>
          <w:szCs w:val="22"/>
        </w:rPr>
      </w:pPr>
      <w:proofErr w:type="gramStart"/>
      <w:r w:rsidRPr="00496FC6">
        <w:rPr>
          <w:rFonts w:asciiTheme="minorHAnsi" w:hAnsiTheme="minorHAnsi" w:cstheme="minorHAnsi"/>
          <w:sz w:val="22"/>
          <w:szCs w:val="22"/>
        </w:rPr>
        <w:t>For the purpose of</w:t>
      </w:r>
      <w:proofErr w:type="gramEnd"/>
      <w:r w:rsidRPr="00496FC6">
        <w:rPr>
          <w:rFonts w:asciiTheme="minorHAnsi" w:hAnsiTheme="minorHAnsi" w:cstheme="minorHAnsi"/>
          <w:sz w:val="22"/>
          <w:szCs w:val="22"/>
        </w:rPr>
        <w:t xml:space="preserve"> the above, </w:t>
      </w:r>
      <w:r w:rsidR="00D13B30">
        <w:rPr>
          <w:rFonts w:asciiTheme="minorHAnsi" w:hAnsiTheme="minorHAnsi" w:cstheme="minorHAnsi"/>
          <w:sz w:val="22"/>
          <w:szCs w:val="22"/>
        </w:rPr>
        <w:t>other</w:t>
      </w:r>
      <w:r w:rsidRPr="00496FC6" w:rsidDel="00D13B30">
        <w:rPr>
          <w:rFonts w:asciiTheme="minorHAnsi" w:hAnsiTheme="minorHAnsi" w:cstheme="minorHAnsi"/>
          <w:sz w:val="22"/>
          <w:szCs w:val="22"/>
        </w:rPr>
        <w:t xml:space="preserve"> </w:t>
      </w:r>
      <w:r w:rsidRPr="00496FC6">
        <w:rPr>
          <w:rFonts w:asciiTheme="minorHAnsi" w:hAnsiTheme="minorHAnsi" w:cstheme="minorHAnsi"/>
          <w:sz w:val="22"/>
          <w:szCs w:val="22"/>
        </w:rPr>
        <w:t xml:space="preserve">directorships held within </w:t>
      </w:r>
      <w:r w:rsidRPr="00496FC6" w:rsidDel="00D13B30">
        <w:rPr>
          <w:rFonts w:asciiTheme="minorHAnsi" w:hAnsiTheme="minorHAnsi" w:cstheme="minorHAnsi"/>
          <w:sz w:val="22"/>
          <w:szCs w:val="22"/>
        </w:rPr>
        <w:t xml:space="preserve">the </w:t>
      </w:r>
      <w:r w:rsidR="00D13B30">
        <w:rPr>
          <w:rFonts w:asciiTheme="minorHAnsi" w:hAnsiTheme="minorHAnsi" w:cstheme="minorHAnsi"/>
          <w:sz w:val="22"/>
          <w:szCs w:val="22"/>
        </w:rPr>
        <w:t xml:space="preserve">Lazard group are not reflected on this table. </w:t>
      </w:r>
    </w:p>
    <w:p w14:paraId="2A6D8E7E" w14:textId="74120699" w:rsidR="00775B6D" w:rsidRPr="00496FC6" w:rsidRDefault="00775B6D" w:rsidP="00775B6D">
      <w:pPr>
        <w:ind w:left="0"/>
        <w:rPr>
          <w:rFonts w:cstheme="minorHAnsi"/>
          <w:lang w:eastAsia="en-GB"/>
        </w:rPr>
      </w:pPr>
    </w:p>
    <w:p w14:paraId="7293FE56" w14:textId="5E7209EE" w:rsidR="00775B6D" w:rsidRPr="00496FC6" w:rsidRDefault="00775B6D">
      <w:pPr>
        <w:pStyle w:val="Heading2"/>
        <w:numPr>
          <w:ilvl w:val="1"/>
          <w:numId w:val="2"/>
        </w:numPr>
        <w:rPr>
          <w:rFonts w:asciiTheme="minorHAnsi" w:hAnsiTheme="minorHAnsi" w:cstheme="minorBidi"/>
          <w:lang w:eastAsia="en-GB"/>
        </w:rPr>
      </w:pPr>
      <w:bookmarkStart w:id="43" w:name="_Toc1383699570"/>
      <w:bookmarkStart w:id="44" w:name="_Toc139016573"/>
      <w:r w:rsidRPr="1C012DF9">
        <w:rPr>
          <w:rFonts w:asciiTheme="minorHAnsi" w:hAnsiTheme="minorHAnsi" w:cstheme="minorBidi"/>
          <w:lang w:eastAsia="en-GB"/>
        </w:rPr>
        <w:t>Policy on Diversity</w:t>
      </w:r>
      <w:bookmarkEnd w:id="43"/>
      <w:bookmarkEnd w:id="44"/>
    </w:p>
    <w:p w14:paraId="436645E7" w14:textId="0834FCCE" w:rsidR="000A1508" w:rsidRDefault="00775B6D" w:rsidP="000A1508">
      <w:pPr>
        <w:ind w:left="0"/>
        <w:rPr>
          <w:lang w:eastAsia="en-GB"/>
        </w:rPr>
      </w:pPr>
      <w:r>
        <w:br/>
      </w:r>
      <w:r w:rsidR="00163FB8">
        <w:rPr>
          <w:lang w:eastAsia="en-GB"/>
        </w:rPr>
        <w:t>Lazard</w:t>
      </w:r>
      <w:r w:rsidR="00163FB8" w:rsidRPr="00163FB8">
        <w:rPr>
          <w:lang w:eastAsia="en-GB"/>
        </w:rPr>
        <w:t xml:space="preserve"> strive</w:t>
      </w:r>
      <w:r w:rsidR="00163FB8">
        <w:rPr>
          <w:lang w:eastAsia="en-GB"/>
        </w:rPr>
        <w:t>s</w:t>
      </w:r>
      <w:r w:rsidR="00163FB8" w:rsidRPr="00163FB8">
        <w:rPr>
          <w:lang w:eastAsia="en-GB"/>
        </w:rPr>
        <w:t xml:space="preserve"> to cultivate a workforce comprised of people with different backgrounds and experiences, which we believe creates an environment of cognitive diversity that promotes new ideas and innovation. </w:t>
      </w:r>
      <w:r w:rsidR="00163FB8">
        <w:rPr>
          <w:lang w:eastAsia="en-GB"/>
        </w:rPr>
        <w:t>The Group’s</w:t>
      </w:r>
      <w:r w:rsidR="00163FB8" w:rsidRPr="00163FB8">
        <w:rPr>
          <w:lang w:eastAsia="en-GB"/>
        </w:rPr>
        <w:t xml:space="preserve"> IDEA strategy fosters diversity through hiring, development, </w:t>
      </w:r>
      <w:proofErr w:type="gramStart"/>
      <w:r w:rsidR="00163FB8" w:rsidRPr="00163FB8">
        <w:rPr>
          <w:lang w:eastAsia="en-GB"/>
        </w:rPr>
        <w:t>promotion</w:t>
      </w:r>
      <w:proofErr w:type="gramEnd"/>
      <w:r w:rsidR="00163FB8" w:rsidRPr="00163FB8">
        <w:rPr>
          <w:lang w:eastAsia="en-GB"/>
        </w:rPr>
        <w:t xml:space="preserve"> and retention while contributing to an equitable and inclusive culture by calling on everyone at the </w:t>
      </w:r>
      <w:r w:rsidR="00636BC0">
        <w:rPr>
          <w:lang w:eastAsia="en-GB"/>
        </w:rPr>
        <w:t>Group</w:t>
      </w:r>
      <w:r w:rsidR="00163FB8" w:rsidRPr="00163FB8">
        <w:rPr>
          <w:lang w:eastAsia="en-GB"/>
        </w:rPr>
        <w:t xml:space="preserve"> to take personal responsibility in ensuring the strategy’s success. Additionally, </w:t>
      </w:r>
      <w:r w:rsidR="007609DE">
        <w:rPr>
          <w:lang w:eastAsia="en-GB"/>
        </w:rPr>
        <w:t>Lazard</w:t>
      </w:r>
      <w:r w:rsidR="00163FB8" w:rsidRPr="00163FB8">
        <w:rPr>
          <w:lang w:eastAsia="en-GB"/>
        </w:rPr>
        <w:t xml:space="preserve"> support the creation of a variety of employee resource groups, which build community across the </w:t>
      </w:r>
      <w:r w:rsidR="00636BC0">
        <w:rPr>
          <w:lang w:eastAsia="en-GB"/>
        </w:rPr>
        <w:t>Group</w:t>
      </w:r>
      <w:r w:rsidR="00163FB8" w:rsidRPr="00163FB8">
        <w:rPr>
          <w:lang w:eastAsia="en-GB"/>
        </w:rPr>
        <w:t xml:space="preserve">, contribute to </w:t>
      </w:r>
      <w:r w:rsidR="007609DE">
        <w:rPr>
          <w:lang w:eastAsia="en-GB"/>
        </w:rPr>
        <w:t>the</w:t>
      </w:r>
      <w:r w:rsidR="00163FB8" w:rsidRPr="00163FB8">
        <w:rPr>
          <w:lang w:eastAsia="en-GB"/>
        </w:rPr>
        <w:t xml:space="preserve"> inclusive culture, and provide opportunities for individuals to give back to their communities through volunteering and educational outreach.</w:t>
      </w:r>
    </w:p>
    <w:p w14:paraId="1F86B618" w14:textId="5A0D84D6" w:rsidR="00B757E6" w:rsidRDefault="00B757E6" w:rsidP="00B757E6">
      <w:pPr>
        <w:ind w:left="0"/>
        <w:rPr>
          <w:lang w:eastAsia="en-GB"/>
        </w:rPr>
      </w:pPr>
      <w:r>
        <w:rPr>
          <w:lang w:eastAsia="en-GB"/>
        </w:rPr>
        <w:t xml:space="preserve">Lazard Asset Management Limited, the employing services company of the </w:t>
      </w:r>
      <w:r w:rsidR="00636BC0">
        <w:rPr>
          <w:lang w:eastAsia="en-GB"/>
        </w:rPr>
        <w:t>Group</w:t>
      </w:r>
      <w:r>
        <w:rPr>
          <w:lang w:eastAsia="en-GB"/>
        </w:rPr>
        <w:t xml:space="preserve">, is a signatory to the Women in Finance Charter and, in its last annual disclosure, it </w:t>
      </w:r>
      <w:r w:rsidRPr="003A618F">
        <w:rPr>
          <w:lang w:eastAsia="en-GB"/>
        </w:rPr>
        <w:t xml:space="preserve">confirmed it had </w:t>
      </w:r>
      <w:r w:rsidR="00F10BE0" w:rsidRPr="003A618F">
        <w:rPr>
          <w:lang w:eastAsia="en-GB"/>
        </w:rPr>
        <w:t>27</w:t>
      </w:r>
      <w:r w:rsidRPr="003A618F">
        <w:rPr>
          <w:lang w:eastAsia="en-GB"/>
        </w:rPr>
        <w:t>% female representation in senior level positions against target (30-35%).</w:t>
      </w:r>
    </w:p>
    <w:p w14:paraId="0B6F9D5F" w14:textId="3798318B" w:rsidR="000A1508" w:rsidRPr="00496FC6" w:rsidRDefault="00B757E6" w:rsidP="00B757E6">
      <w:pPr>
        <w:ind w:left="0"/>
        <w:rPr>
          <w:lang w:eastAsia="en-GB"/>
        </w:rPr>
      </w:pPr>
      <w:r>
        <w:rPr>
          <w:lang w:eastAsia="en-GB"/>
        </w:rPr>
        <w:lastRenderedPageBreak/>
        <w:t xml:space="preserve">All employees of the </w:t>
      </w:r>
      <w:r w:rsidR="00C91CA6">
        <w:rPr>
          <w:lang w:eastAsia="en-GB"/>
        </w:rPr>
        <w:t>Group</w:t>
      </w:r>
      <w:r>
        <w:rPr>
          <w:lang w:eastAsia="en-GB"/>
        </w:rPr>
        <w:t xml:space="preserve"> have the opportunity and are encouraged to support and join established and flourishing employee networks, which include Lazard Proud, Lazard Plus, Lazard Family Network and Lazard Women’s Leadership Network. The </w:t>
      </w:r>
      <w:r w:rsidR="00C91CA6">
        <w:rPr>
          <w:lang w:eastAsia="en-GB"/>
        </w:rPr>
        <w:t>Group</w:t>
      </w:r>
      <w:r>
        <w:rPr>
          <w:lang w:eastAsia="en-GB"/>
        </w:rPr>
        <w:t xml:space="preserve"> also regularly hosts both internal and external sessions and roundtables that cover a broad range of diversity topics including Diversity in Banking and Neurodiversity.</w:t>
      </w:r>
    </w:p>
    <w:p w14:paraId="4F7B8361" w14:textId="0A0B0523" w:rsidR="00775B6D" w:rsidRPr="00496FC6" w:rsidRDefault="00DA14CC">
      <w:pPr>
        <w:pStyle w:val="Heading1"/>
        <w:numPr>
          <w:ilvl w:val="0"/>
          <w:numId w:val="2"/>
        </w:numPr>
        <w:spacing w:line="276" w:lineRule="auto"/>
        <w:rPr>
          <w:rFonts w:asciiTheme="minorHAnsi" w:hAnsiTheme="minorHAnsi" w:cstheme="minorBidi"/>
          <w:lang w:eastAsia="en-GB"/>
        </w:rPr>
      </w:pPr>
      <w:bookmarkStart w:id="45" w:name="_Toc139016574"/>
      <w:bookmarkStart w:id="46" w:name="_Toc1815295536"/>
      <w:r w:rsidRPr="3498C462">
        <w:rPr>
          <w:rFonts w:asciiTheme="minorHAnsi" w:hAnsiTheme="minorHAnsi" w:cstheme="minorBidi"/>
          <w:lang w:eastAsia="en-GB"/>
        </w:rPr>
        <w:lastRenderedPageBreak/>
        <w:t>Own Funds</w:t>
      </w:r>
      <w:bookmarkEnd w:id="45"/>
      <w:r w:rsidRPr="3498C462">
        <w:rPr>
          <w:rFonts w:asciiTheme="minorHAnsi" w:hAnsiTheme="minorHAnsi" w:cstheme="minorBidi"/>
          <w:lang w:eastAsia="en-GB"/>
        </w:rPr>
        <w:t xml:space="preserve"> </w:t>
      </w:r>
      <w:bookmarkEnd w:id="46"/>
    </w:p>
    <w:p w14:paraId="30E2C469" w14:textId="525ACE9A" w:rsidR="00DA14CC" w:rsidRPr="00496FC6" w:rsidRDefault="00DA14CC" w:rsidP="00DA14CC">
      <w:pPr>
        <w:ind w:left="0"/>
        <w:rPr>
          <w:rFonts w:cstheme="minorHAnsi"/>
          <w:lang w:eastAsia="en-GB"/>
        </w:rPr>
      </w:pPr>
      <w:r w:rsidRPr="00496FC6">
        <w:rPr>
          <w:rFonts w:cstheme="minorHAnsi"/>
          <w:lang w:eastAsia="en-GB"/>
        </w:rPr>
        <w:br/>
        <w:t xml:space="preserve">Own Funds (also referred to as capital resources) are the type and level of regulatory capital that must be held to enable the </w:t>
      </w:r>
      <w:r w:rsidR="008D08F3">
        <w:rPr>
          <w:rFonts w:cstheme="minorHAnsi"/>
          <w:lang w:eastAsia="en-GB"/>
        </w:rPr>
        <w:t>Group</w:t>
      </w:r>
      <w:r w:rsidRPr="00496FC6">
        <w:rPr>
          <w:rFonts w:cstheme="minorHAnsi"/>
          <w:lang w:eastAsia="en-GB"/>
        </w:rPr>
        <w:t xml:space="preserve"> to absorb losses. </w:t>
      </w:r>
    </w:p>
    <w:p w14:paraId="0695C08C" w14:textId="464806AF" w:rsidR="00DA14CC" w:rsidRPr="00496FC6" w:rsidRDefault="00DA14CC" w:rsidP="00DA14CC">
      <w:pPr>
        <w:ind w:left="0"/>
        <w:rPr>
          <w:lang w:eastAsia="en-GB"/>
        </w:rPr>
      </w:pPr>
      <w:r w:rsidRPr="3498C462">
        <w:rPr>
          <w:lang w:eastAsia="en-GB"/>
        </w:rPr>
        <w:t xml:space="preserve">During the year, the primary objective of the </w:t>
      </w:r>
      <w:r w:rsidR="008D08F3">
        <w:rPr>
          <w:lang w:eastAsia="en-GB"/>
        </w:rPr>
        <w:t>Group</w:t>
      </w:r>
      <w:r w:rsidRPr="3498C462">
        <w:rPr>
          <w:lang w:eastAsia="en-GB"/>
        </w:rPr>
        <w:t xml:space="preserve"> with respect to capital management was to ensure that it complied with the imposed capital requirements with respect to its own funds and that the </w:t>
      </w:r>
      <w:r w:rsidR="008D08F3">
        <w:rPr>
          <w:lang w:eastAsia="en-GB"/>
        </w:rPr>
        <w:t>Group</w:t>
      </w:r>
      <w:r w:rsidRPr="3498C462">
        <w:rPr>
          <w:lang w:eastAsia="en-GB"/>
        </w:rPr>
        <w:t xml:space="preserve"> maintained healthy capital ratios </w:t>
      </w:r>
      <w:proofErr w:type="gramStart"/>
      <w:r w:rsidRPr="3498C462">
        <w:rPr>
          <w:lang w:eastAsia="en-GB"/>
        </w:rPr>
        <w:t>in order to</w:t>
      </w:r>
      <w:proofErr w:type="gramEnd"/>
      <w:r w:rsidRPr="3498C462">
        <w:rPr>
          <w:lang w:eastAsia="en-GB"/>
        </w:rPr>
        <w:t xml:space="preserve"> support its business. Further to the above, the </w:t>
      </w:r>
      <w:r w:rsidR="008D08F3">
        <w:rPr>
          <w:lang w:eastAsia="en-GB"/>
        </w:rPr>
        <w:t>Group</w:t>
      </w:r>
      <w:r w:rsidRPr="3498C462">
        <w:rPr>
          <w:lang w:eastAsia="en-GB"/>
        </w:rPr>
        <w:t xml:space="preserve">, as a non-SNI </w:t>
      </w:r>
      <w:r w:rsidR="73E19AB9" w:rsidRPr="7F3F34CE">
        <w:rPr>
          <w:lang w:eastAsia="en-GB"/>
        </w:rPr>
        <w:t>i</w:t>
      </w:r>
      <w:r w:rsidR="16D09788" w:rsidRPr="7F3F34CE">
        <w:rPr>
          <w:lang w:eastAsia="en-GB"/>
        </w:rPr>
        <w:t xml:space="preserve">nvestment </w:t>
      </w:r>
      <w:r w:rsidR="7764F371" w:rsidRPr="7F3F34CE">
        <w:rPr>
          <w:lang w:eastAsia="en-GB"/>
        </w:rPr>
        <w:t>f</w:t>
      </w:r>
      <w:r w:rsidR="61419BA7" w:rsidRPr="7F3F34CE">
        <w:rPr>
          <w:lang w:eastAsia="en-GB"/>
        </w:rPr>
        <w:t>irm</w:t>
      </w:r>
      <w:r w:rsidRPr="3498C462">
        <w:rPr>
          <w:lang w:eastAsia="en-GB"/>
        </w:rPr>
        <w:t xml:space="preserve">, </w:t>
      </w:r>
      <w:r w:rsidR="00F60FE2" w:rsidRPr="3498C462">
        <w:rPr>
          <w:lang w:eastAsia="en-GB"/>
        </w:rPr>
        <w:t xml:space="preserve">is </w:t>
      </w:r>
      <w:proofErr w:type="gramStart"/>
      <w:r w:rsidR="00F60FE2" w:rsidRPr="3498C462">
        <w:rPr>
          <w:lang w:eastAsia="en-GB"/>
        </w:rPr>
        <w:t>required at all</w:t>
      </w:r>
      <w:r w:rsidRPr="3498C462">
        <w:rPr>
          <w:lang w:eastAsia="en-GB"/>
        </w:rPr>
        <w:t xml:space="preserve"> times</w:t>
      </w:r>
      <w:proofErr w:type="gramEnd"/>
      <w:r w:rsidRPr="3498C462">
        <w:rPr>
          <w:lang w:eastAsia="en-GB"/>
        </w:rPr>
        <w:t xml:space="preserve"> </w:t>
      </w:r>
      <w:r w:rsidR="7A5FD127" w:rsidRPr="3498C462">
        <w:rPr>
          <w:lang w:eastAsia="en-GB"/>
        </w:rPr>
        <w:t xml:space="preserve">to </w:t>
      </w:r>
      <w:r w:rsidRPr="3498C462">
        <w:rPr>
          <w:lang w:eastAsia="en-GB"/>
        </w:rPr>
        <w:t xml:space="preserve">have own funds </w:t>
      </w:r>
      <w:r w:rsidR="007F1C4F" w:rsidRPr="4C5E05D4">
        <w:t xml:space="preserve">of </w:t>
      </w:r>
      <w:r w:rsidR="007F1C4F" w:rsidRPr="3498C462">
        <w:rPr>
          <w:lang w:eastAsia="en-GB"/>
        </w:rPr>
        <w:t xml:space="preserve">at </w:t>
      </w:r>
      <w:r w:rsidR="007F1C4F" w:rsidRPr="10A0992B">
        <w:rPr>
          <w:lang w:eastAsia="en-GB"/>
        </w:rPr>
        <w:t xml:space="preserve">least </w:t>
      </w:r>
      <w:r w:rsidR="007F1C4F" w:rsidRPr="7B52BDD3">
        <w:rPr>
          <w:lang w:eastAsia="en-GB"/>
        </w:rPr>
        <w:t xml:space="preserve">an </w:t>
      </w:r>
      <w:r w:rsidR="007F1C4F" w:rsidRPr="10A0992B">
        <w:rPr>
          <w:lang w:eastAsia="en-GB"/>
        </w:rPr>
        <w:t xml:space="preserve">amount which is the greater of </w:t>
      </w:r>
      <w:r w:rsidR="007F1C4F" w:rsidRPr="1EBE93B0">
        <w:t xml:space="preserve">the </w:t>
      </w:r>
      <w:r w:rsidDel="007F1C4F">
        <w:t>following</w:t>
      </w:r>
      <w:r w:rsidRPr="3498C462">
        <w:rPr>
          <w:lang w:eastAsia="en-GB"/>
        </w:rPr>
        <w:t>:</w:t>
      </w:r>
    </w:p>
    <w:p w14:paraId="3A086A84" w14:textId="005E3FFC" w:rsidR="00DA14CC" w:rsidRPr="00496FC6" w:rsidRDefault="00DA14CC">
      <w:pPr>
        <w:pStyle w:val="ListParagraph"/>
        <w:numPr>
          <w:ilvl w:val="0"/>
          <w:numId w:val="5"/>
        </w:numPr>
        <w:rPr>
          <w:rFonts w:cstheme="minorHAnsi"/>
          <w:lang w:eastAsia="en-GB"/>
        </w:rPr>
      </w:pPr>
      <w:r w:rsidRPr="00496FC6">
        <w:rPr>
          <w:rFonts w:cstheme="minorHAnsi"/>
          <w:lang w:eastAsia="en-GB"/>
        </w:rPr>
        <w:t xml:space="preserve">Permanent Minimum Capital Requirement, </w:t>
      </w:r>
    </w:p>
    <w:p w14:paraId="6FEB1182" w14:textId="4047D6D9" w:rsidR="00DA14CC" w:rsidRPr="00496FC6" w:rsidRDefault="00DA14CC">
      <w:pPr>
        <w:pStyle w:val="ListParagraph"/>
        <w:numPr>
          <w:ilvl w:val="0"/>
          <w:numId w:val="5"/>
        </w:numPr>
        <w:rPr>
          <w:rFonts w:cstheme="minorHAnsi"/>
          <w:lang w:eastAsia="en-GB"/>
        </w:rPr>
      </w:pPr>
      <w:r w:rsidRPr="00496FC6">
        <w:rPr>
          <w:rFonts w:cstheme="minorHAnsi"/>
          <w:lang w:eastAsia="en-GB"/>
        </w:rPr>
        <w:t xml:space="preserve">Fixed Overheads Requirements, and </w:t>
      </w:r>
    </w:p>
    <w:p w14:paraId="280B93FA" w14:textId="5C9873B3" w:rsidR="00DA14CC" w:rsidRPr="00496FC6" w:rsidRDefault="00DA14CC">
      <w:pPr>
        <w:pStyle w:val="ListParagraph"/>
        <w:numPr>
          <w:ilvl w:val="0"/>
          <w:numId w:val="5"/>
        </w:numPr>
        <w:rPr>
          <w:rFonts w:cstheme="minorHAnsi"/>
          <w:lang w:eastAsia="en-GB"/>
        </w:rPr>
      </w:pPr>
      <w:r w:rsidRPr="00496FC6">
        <w:rPr>
          <w:rFonts w:cstheme="minorHAnsi"/>
          <w:lang w:eastAsia="en-GB"/>
        </w:rPr>
        <w:t>K-Factors Requirement.</w:t>
      </w:r>
    </w:p>
    <w:p w14:paraId="4DA4B435" w14:textId="5AF79E8E" w:rsidR="00DA14CC" w:rsidRPr="00496FC6" w:rsidRDefault="00154A33" w:rsidP="00DA14CC">
      <w:pPr>
        <w:ind w:left="0"/>
        <w:rPr>
          <w:lang w:eastAsia="en-GB"/>
        </w:rPr>
      </w:pPr>
      <w:r w:rsidRPr="3498C462">
        <w:t xml:space="preserve">The </w:t>
      </w:r>
      <w:r w:rsidR="008D08F3">
        <w:t>Group</w:t>
      </w:r>
      <w:r w:rsidR="00F60FE2" w:rsidRPr="3498C462">
        <w:t xml:space="preserve"> </w:t>
      </w:r>
      <w:r w:rsidR="00DA14CC" w:rsidRPr="3498C462">
        <w:rPr>
          <w:lang w:eastAsia="en-GB"/>
        </w:rPr>
        <w:t xml:space="preserve">throughout the year under review </w:t>
      </w:r>
      <w:r w:rsidR="00DA14CC" w:rsidRPr="6174666D">
        <w:rPr>
          <w:lang w:eastAsia="en-GB"/>
        </w:rPr>
        <w:t>managed</w:t>
      </w:r>
      <w:r w:rsidR="00DA14CC" w:rsidRPr="3498C462">
        <w:rPr>
          <w:lang w:eastAsia="en-GB"/>
        </w:rPr>
        <w:t xml:space="preserve"> its capital structure</w:t>
      </w:r>
      <w:r w:rsidR="00860AD9">
        <w:rPr>
          <w:lang w:eastAsia="en-GB"/>
        </w:rPr>
        <w:t xml:space="preserve"> </w:t>
      </w:r>
      <w:r w:rsidR="00067142">
        <w:rPr>
          <w:lang w:eastAsia="en-GB"/>
        </w:rPr>
        <w:t xml:space="preserve">well within </w:t>
      </w:r>
      <w:r w:rsidR="005254D3">
        <w:rPr>
          <w:lang w:eastAsia="en-GB"/>
        </w:rPr>
        <w:t xml:space="preserve">its regulatory requirements, </w:t>
      </w:r>
      <w:r w:rsidR="00067142">
        <w:rPr>
          <w:lang w:eastAsia="en-GB"/>
        </w:rPr>
        <w:t xml:space="preserve">whilst </w:t>
      </w:r>
      <w:r w:rsidR="00F317D6">
        <w:rPr>
          <w:lang w:eastAsia="en-GB"/>
        </w:rPr>
        <w:t>keeping under</w:t>
      </w:r>
      <w:r w:rsidR="00F317D6" w:rsidDel="00067142">
        <w:rPr>
          <w:lang w:eastAsia="en-GB"/>
        </w:rPr>
        <w:t xml:space="preserve"> </w:t>
      </w:r>
      <w:r w:rsidR="00F317D6">
        <w:rPr>
          <w:lang w:eastAsia="en-GB"/>
        </w:rPr>
        <w:t xml:space="preserve">review </w:t>
      </w:r>
      <w:r w:rsidR="00DA14CC" w:rsidRPr="3498C462">
        <w:rPr>
          <w:lang w:eastAsia="en-GB"/>
        </w:rPr>
        <w:t>changes in</w:t>
      </w:r>
      <w:r w:rsidR="00DA14CC" w:rsidRPr="3498C462" w:rsidDel="00F317D6">
        <w:rPr>
          <w:lang w:eastAsia="en-GB"/>
        </w:rPr>
        <w:t xml:space="preserve"> </w:t>
      </w:r>
      <w:r w:rsidR="00DA14CC" w:rsidRPr="3498C462">
        <w:rPr>
          <w:lang w:eastAsia="en-GB"/>
        </w:rPr>
        <w:t>economic and business conditions</w:t>
      </w:r>
      <w:r w:rsidR="00F317D6">
        <w:rPr>
          <w:lang w:eastAsia="en-GB"/>
        </w:rPr>
        <w:t>,</w:t>
      </w:r>
      <w:r w:rsidR="00DA14CC" w:rsidRPr="3498C462">
        <w:rPr>
          <w:lang w:eastAsia="en-GB"/>
        </w:rPr>
        <w:t xml:space="preserve"> and the risk characteristics of its activities.</w:t>
      </w:r>
    </w:p>
    <w:p w14:paraId="5714266F" w14:textId="421601B8" w:rsidR="00DA14CC" w:rsidRPr="00496FC6" w:rsidRDefault="00DA14CC">
      <w:pPr>
        <w:pStyle w:val="Heading2"/>
        <w:numPr>
          <w:ilvl w:val="1"/>
          <w:numId w:val="2"/>
        </w:numPr>
        <w:rPr>
          <w:rFonts w:asciiTheme="minorHAnsi" w:hAnsiTheme="minorHAnsi" w:cstheme="minorBidi"/>
          <w:lang w:eastAsia="en-GB"/>
        </w:rPr>
      </w:pPr>
      <w:bookmarkStart w:id="47" w:name="_Toc1473708843"/>
      <w:bookmarkStart w:id="48" w:name="_Toc139016575"/>
      <w:r w:rsidRPr="3498C462">
        <w:rPr>
          <w:rFonts w:asciiTheme="minorHAnsi" w:hAnsiTheme="minorHAnsi" w:cstheme="minorBidi"/>
          <w:lang w:eastAsia="en-GB"/>
        </w:rPr>
        <w:t>Composition of Regulatory Own Funds</w:t>
      </w:r>
      <w:bookmarkEnd w:id="47"/>
      <w:bookmarkEnd w:id="48"/>
    </w:p>
    <w:p w14:paraId="1F372014" w14:textId="332DD9B3" w:rsidR="00DA14CC" w:rsidRPr="00496FC6" w:rsidRDefault="00DA14CC" w:rsidP="00DA14CC">
      <w:pPr>
        <w:ind w:left="0"/>
        <w:rPr>
          <w:lang w:eastAsia="en-GB"/>
        </w:rPr>
      </w:pPr>
      <w:r>
        <w:br/>
      </w:r>
      <w:r w:rsidRPr="6174666D">
        <w:rPr>
          <w:lang w:eastAsia="en-GB"/>
        </w:rPr>
        <w:t>The following information provides a full reconciliation of the Common Equity Tier 1 (CET1)</w:t>
      </w:r>
      <w:r w:rsidR="007A0834" w:rsidRPr="6174666D">
        <w:rPr>
          <w:lang w:eastAsia="en-GB"/>
        </w:rPr>
        <w:t>,</w:t>
      </w:r>
      <w:r w:rsidRPr="6174666D">
        <w:rPr>
          <w:lang w:eastAsia="en-GB"/>
        </w:rPr>
        <w:t xml:space="preserve"> </w:t>
      </w:r>
      <w:r w:rsidRPr="6174666D" w:rsidDel="006D30CC">
        <w:rPr>
          <w:lang w:eastAsia="en-GB"/>
        </w:rPr>
        <w:t>A</w:t>
      </w:r>
      <w:r w:rsidRPr="6174666D">
        <w:rPr>
          <w:lang w:eastAsia="en-GB"/>
        </w:rPr>
        <w:t xml:space="preserve">dditional Tier 1 (AT1) instruments and Tier 2 (T2) instruments issued by the </w:t>
      </w:r>
      <w:r w:rsidR="008D08F3">
        <w:rPr>
          <w:lang w:eastAsia="en-GB"/>
        </w:rPr>
        <w:t>Group</w:t>
      </w:r>
      <w:r w:rsidRPr="6174666D">
        <w:rPr>
          <w:lang w:eastAsia="en-GB"/>
        </w:rPr>
        <w:t xml:space="preserve">. The </w:t>
      </w:r>
      <w:r w:rsidR="008D08F3">
        <w:rPr>
          <w:lang w:eastAsia="en-GB"/>
        </w:rPr>
        <w:t>Group</w:t>
      </w:r>
      <w:r w:rsidRPr="6174666D">
        <w:rPr>
          <w:lang w:eastAsia="en-GB"/>
        </w:rPr>
        <w:t xml:space="preserve">’s regulatory capital </w:t>
      </w:r>
      <w:r w:rsidR="00D61D23">
        <w:rPr>
          <w:lang w:eastAsia="en-GB"/>
        </w:rPr>
        <w:t>is comprised</w:t>
      </w:r>
      <w:r w:rsidRPr="6174666D">
        <w:rPr>
          <w:lang w:eastAsia="en-GB"/>
        </w:rPr>
        <w:t xml:space="preserve"> fully of CET1 capital</w:t>
      </w:r>
      <w:r w:rsidR="2ABBCF2D" w:rsidRPr="6174666D">
        <w:rPr>
          <w:lang w:eastAsia="en-GB"/>
        </w:rPr>
        <w:t xml:space="preserve">; </w:t>
      </w:r>
      <w:r w:rsidRPr="6174666D">
        <w:rPr>
          <w:lang w:eastAsia="en-GB"/>
        </w:rPr>
        <w:t>it has not issued any AT1 or T2 capital.</w:t>
      </w:r>
    </w:p>
    <w:p w14:paraId="19278E7B" w14:textId="7118862F" w:rsidR="004055A3" w:rsidRPr="00496FC6" w:rsidRDefault="004055A3" w:rsidP="004055A3">
      <w:pPr>
        <w:pStyle w:val="Caption"/>
        <w:keepNext/>
        <w:rPr>
          <w:b/>
          <w:color w:val="auto"/>
          <w:sz w:val="22"/>
          <w:szCs w:val="22"/>
        </w:rPr>
      </w:pPr>
      <w:r w:rsidRPr="7F3F34CE">
        <w:rPr>
          <w:b/>
          <w:color w:val="auto"/>
          <w:sz w:val="22"/>
          <w:szCs w:val="22"/>
        </w:rPr>
        <w:t xml:space="preserve">Table </w:t>
      </w:r>
      <w:r w:rsidR="00B31549">
        <w:rPr>
          <w:b/>
          <w:color w:val="auto"/>
          <w:sz w:val="22"/>
          <w:szCs w:val="22"/>
        </w:rPr>
        <w:fldChar w:fldCharType="begin"/>
      </w:r>
      <w:r w:rsidR="00B31549">
        <w:rPr>
          <w:b/>
          <w:color w:val="auto"/>
          <w:sz w:val="22"/>
          <w:szCs w:val="22"/>
        </w:rPr>
        <w:instrText xml:space="preserve"> SEQ Table \* ARABIC \* MERGEFORMAT </w:instrText>
      </w:r>
      <w:r w:rsidR="00B31549">
        <w:rPr>
          <w:b/>
          <w:color w:val="auto"/>
          <w:sz w:val="22"/>
          <w:szCs w:val="22"/>
        </w:rPr>
        <w:fldChar w:fldCharType="separate"/>
      </w:r>
      <w:r w:rsidR="005C7385">
        <w:rPr>
          <w:b/>
          <w:noProof/>
          <w:color w:val="auto"/>
          <w:sz w:val="22"/>
          <w:szCs w:val="22"/>
        </w:rPr>
        <w:t>3</w:t>
      </w:r>
      <w:r w:rsidR="00B31549">
        <w:rPr>
          <w:b/>
          <w:color w:val="auto"/>
          <w:sz w:val="22"/>
          <w:szCs w:val="22"/>
        </w:rPr>
        <w:fldChar w:fldCharType="end"/>
      </w:r>
      <w:r w:rsidR="27D27CC3" w:rsidRPr="7F3F34CE">
        <w:rPr>
          <w:b/>
          <w:bCs/>
          <w:color w:val="auto"/>
          <w:sz w:val="22"/>
          <w:szCs w:val="22"/>
        </w:rPr>
        <w:t>:</w:t>
      </w:r>
      <w:r w:rsidRPr="7F3F34CE">
        <w:rPr>
          <w:b/>
          <w:color w:val="auto"/>
          <w:sz w:val="22"/>
          <w:szCs w:val="22"/>
        </w:rPr>
        <w:t xml:space="preserve"> Composition of Regulatory Own Funds</w:t>
      </w:r>
    </w:p>
    <w:tbl>
      <w:tblPr>
        <w:tblStyle w:val="TableGrid"/>
        <w:tblW w:w="0" w:type="auto"/>
        <w:tblLook w:val="04A0" w:firstRow="1" w:lastRow="0" w:firstColumn="1" w:lastColumn="0" w:noHBand="0" w:noVBand="1"/>
      </w:tblPr>
      <w:tblGrid>
        <w:gridCol w:w="562"/>
        <w:gridCol w:w="5245"/>
        <w:gridCol w:w="1559"/>
        <w:gridCol w:w="1650"/>
      </w:tblGrid>
      <w:tr w:rsidR="004055A3" w:rsidRPr="00496FC6" w14:paraId="6CBC551B" w14:textId="77777777" w:rsidTr="003533DE">
        <w:trPr>
          <w:trHeight w:val="580"/>
        </w:trPr>
        <w:tc>
          <w:tcPr>
            <w:tcW w:w="562" w:type="dxa"/>
            <w:shd w:val="clear" w:color="auto" w:fill="C00000"/>
            <w:vAlign w:val="center"/>
          </w:tcPr>
          <w:p w14:paraId="65A3FDD6" w14:textId="738D72B2" w:rsidR="004055A3" w:rsidRPr="00496FC6" w:rsidRDefault="004055A3" w:rsidP="00AC4A16">
            <w:pPr>
              <w:spacing w:after="0"/>
              <w:ind w:left="0"/>
              <w:jc w:val="left"/>
              <w:rPr>
                <w:rFonts w:cstheme="minorHAnsi"/>
                <w:b/>
                <w:bCs/>
                <w:lang w:eastAsia="en-GB"/>
              </w:rPr>
            </w:pPr>
            <w:r w:rsidRPr="00496FC6">
              <w:rPr>
                <w:rFonts w:cstheme="minorHAnsi"/>
                <w:b/>
                <w:bCs/>
                <w:lang w:eastAsia="en-GB"/>
              </w:rPr>
              <w:t>No.</w:t>
            </w:r>
          </w:p>
        </w:tc>
        <w:tc>
          <w:tcPr>
            <w:tcW w:w="5245" w:type="dxa"/>
            <w:shd w:val="clear" w:color="auto" w:fill="C00000"/>
            <w:vAlign w:val="center"/>
          </w:tcPr>
          <w:p w14:paraId="5F4DEA3C" w14:textId="6046BD67" w:rsidR="004055A3" w:rsidRPr="00496FC6" w:rsidRDefault="004055A3" w:rsidP="00AC4A16">
            <w:pPr>
              <w:spacing w:after="0"/>
              <w:ind w:left="0"/>
              <w:jc w:val="left"/>
              <w:rPr>
                <w:rFonts w:cstheme="minorHAnsi"/>
                <w:b/>
                <w:bCs/>
                <w:lang w:eastAsia="en-GB"/>
              </w:rPr>
            </w:pPr>
            <w:r w:rsidRPr="00496FC6">
              <w:rPr>
                <w:rFonts w:cstheme="minorHAnsi"/>
                <w:b/>
                <w:bCs/>
                <w:lang w:eastAsia="en-GB"/>
              </w:rPr>
              <w:t>Item</w:t>
            </w:r>
          </w:p>
        </w:tc>
        <w:tc>
          <w:tcPr>
            <w:tcW w:w="1559" w:type="dxa"/>
            <w:shd w:val="clear" w:color="auto" w:fill="C00000"/>
            <w:vAlign w:val="center"/>
          </w:tcPr>
          <w:p w14:paraId="4B1FE46D" w14:textId="6C825D46" w:rsidR="004055A3" w:rsidRPr="00496FC6" w:rsidRDefault="004055A3" w:rsidP="00AC4A16">
            <w:pPr>
              <w:spacing w:after="0"/>
              <w:ind w:left="0"/>
              <w:jc w:val="center"/>
              <w:rPr>
                <w:rFonts w:cstheme="minorHAnsi"/>
                <w:b/>
                <w:bCs/>
                <w:lang w:eastAsia="en-GB"/>
              </w:rPr>
            </w:pPr>
            <w:r w:rsidRPr="00496FC6">
              <w:rPr>
                <w:rFonts w:cstheme="minorHAnsi"/>
                <w:b/>
                <w:bCs/>
                <w:lang w:eastAsia="en-GB"/>
              </w:rPr>
              <w:t>Amount</w:t>
            </w:r>
            <w:r w:rsidR="000500EE">
              <w:rPr>
                <w:rFonts w:cstheme="minorHAnsi"/>
                <w:b/>
                <w:bCs/>
                <w:lang w:eastAsia="en-GB"/>
              </w:rPr>
              <w:t xml:space="preserve"> £’000</w:t>
            </w:r>
          </w:p>
        </w:tc>
        <w:tc>
          <w:tcPr>
            <w:tcW w:w="1650" w:type="dxa"/>
            <w:shd w:val="clear" w:color="auto" w:fill="C00000"/>
            <w:vAlign w:val="center"/>
          </w:tcPr>
          <w:p w14:paraId="218B0144" w14:textId="43534949" w:rsidR="004055A3" w:rsidRPr="00496FC6" w:rsidRDefault="004055A3" w:rsidP="00AC4A16">
            <w:pPr>
              <w:spacing w:after="0"/>
              <w:ind w:left="0"/>
              <w:jc w:val="center"/>
              <w:rPr>
                <w:b/>
                <w:lang w:eastAsia="en-GB"/>
              </w:rPr>
            </w:pPr>
            <w:r w:rsidRPr="20C76054">
              <w:rPr>
                <w:b/>
                <w:lang w:eastAsia="en-GB"/>
              </w:rPr>
              <w:t xml:space="preserve">Source based on </w:t>
            </w:r>
            <w:r w:rsidR="00F341B8" w:rsidRPr="20C76054">
              <w:rPr>
                <w:b/>
                <w:lang w:eastAsia="en-GB"/>
              </w:rPr>
              <w:t>r</w:t>
            </w:r>
            <w:r w:rsidRPr="20C76054">
              <w:rPr>
                <w:b/>
                <w:lang w:eastAsia="en-GB"/>
              </w:rPr>
              <w:t xml:space="preserve">eference number of </w:t>
            </w:r>
            <w:r w:rsidR="00F341B8" w:rsidRPr="20C76054">
              <w:rPr>
                <w:b/>
                <w:lang w:eastAsia="en-GB"/>
              </w:rPr>
              <w:t xml:space="preserve">Table </w:t>
            </w:r>
            <w:r w:rsidR="726149C8" w:rsidRPr="001A708D">
              <w:rPr>
                <w:b/>
                <w:lang w:eastAsia="en-GB"/>
              </w:rPr>
              <w:t xml:space="preserve">5 </w:t>
            </w:r>
            <w:r w:rsidR="697613AB" w:rsidRPr="7F3F34CE">
              <w:rPr>
                <w:b/>
                <w:bCs/>
                <w:lang w:eastAsia="en-GB"/>
              </w:rPr>
              <w:t>below</w:t>
            </w:r>
          </w:p>
        </w:tc>
      </w:tr>
      <w:tr w:rsidR="004055A3" w:rsidRPr="00496FC6" w14:paraId="7D0799B3" w14:textId="77777777" w:rsidTr="003533DE">
        <w:tc>
          <w:tcPr>
            <w:tcW w:w="562" w:type="dxa"/>
          </w:tcPr>
          <w:p w14:paraId="1019F0FC" w14:textId="7BCEA11C" w:rsidR="004055A3" w:rsidRPr="00496FC6" w:rsidRDefault="00F341B8" w:rsidP="003533DE">
            <w:pPr>
              <w:spacing w:after="0"/>
              <w:ind w:left="0"/>
              <w:rPr>
                <w:rFonts w:cstheme="minorHAnsi"/>
                <w:b/>
                <w:bCs/>
                <w:lang w:eastAsia="en-GB"/>
              </w:rPr>
            </w:pPr>
            <w:r w:rsidRPr="00496FC6">
              <w:rPr>
                <w:rFonts w:cstheme="minorHAnsi"/>
                <w:b/>
                <w:bCs/>
                <w:lang w:eastAsia="en-GB"/>
              </w:rPr>
              <w:t>1.</w:t>
            </w:r>
          </w:p>
        </w:tc>
        <w:tc>
          <w:tcPr>
            <w:tcW w:w="5245" w:type="dxa"/>
          </w:tcPr>
          <w:p w14:paraId="4E3EB6E8" w14:textId="312146AA" w:rsidR="004055A3" w:rsidRPr="00496FC6" w:rsidRDefault="003533DE" w:rsidP="003533DE">
            <w:pPr>
              <w:spacing w:after="0"/>
              <w:ind w:left="0"/>
              <w:rPr>
                <w:rFonts w:cstheme="minorHAnsi"/>
                <w:b/>
                <w:bCs/>
                <w:lang w:eastAsia="en-GB"/>
              </w:rPr>
            </w:pPr>
            <w:r w:rsidRPr="00496FC6">
              <w:rPr>
                <w:rFonts w:cstheme="minorHAnsi"/>
                <w:b/>
                <w:bCs/>
                <w:lang w:eastAsia="en-GB"/>
              </w:rPr>
              <w:t>OWN FUNDS</w:t>
            </w:r>
          </w:p>
        </w:tc>
        <w:tc>
          <w:tcPr>
            <w:tcW w:w="1559" w:type="dxa"/>
          </w:tcPr>
          <w:p w14:paraId="56FBC76F" w14:textId="72D5895B" w:rsidR="004055A3" w:rsidRPr="004C4C1F" w:rsidRDefault="00042B21" w:rsidP="00CE1AD1">
            <w:pPr>
              <w:spacing w:after="0"/>
              <w:ind w:left="0"/>
              <w:jc w:val="center"/>
              <w:rPr>
                <w:rFonts w:cstheme="minorHAnsi"/>
                <w:b/>
                <w:bCs/>
                <w:lang w:eastAsia="en-GB"/>
              </w:rPr>
            </w:pPr>
            <w:r w:rsidRPr="004C4C1F">
              <w:rPr>
                <w:rFonts w:cstheme="minorHAnsi"/>
                <w:b/>
                <w:bCs/>
                <w:lang w:eastAsia="en-GB"/>
              </w:rPr>
              <w:t>3</w:t>
            </w:r>
            <w:r w:rsidR="00AE253B">
              <w:rPr>
                <w:rFonts w:cstheme="minorHAnsi"/>
                <w:b/>
                <w:bCs/>
                <w:lang w:eastAsia="en-GB"/>
              </w:rPr>
              <w:t>3,012</w:t>
            </w:r>
          </w:p>
        </w:tc>
        <w:tc>
          <w:tcPr>
            <w:tcW w:w="1650" w:type="dxa"/>
          </w:tcPr>
          <w:p w14:paraId="141ECF69" w14:textId="08DC32B3" w:rsidR="004055A3" w:rsidRPr="004C4C1F" w:rsidRDefault="004055A3" w:rsidP="003533DE">
            <w:pPr>
              <w:spacing w:after="0"/>
              <w:ind w:left="0"/>
              <w:rPr>
                <w:rFonts w:cstheme="minorHAnsi"/>
                <w:b/>
                <w:bCs/>
                <w:lang w:eastAsia="en-GB"/>
              </w:rPr>
            </w:pPr>
          </w:p>
        </w:tc>
      </w:tr>
      <w:tr w:rsidR="004055A3" w:rsidRPr="00496FC6" w14:paraId="7BAF7C89" w14:textId="77777777" w:rsidTr="003533DE">
        <w:tc>
          <w:tcPr>
            <w:tcW w:w="562" w:type="dxa"/>
          </w:tcPr>
          <w:p w14:paraId="27A06ED3" w14:textId="4107B811" w:rsidR="004055A3" w:rsidRPr="00496FC6" w:rsidRDefault="00F341B8" w:rsidP="003533DE">
            <w:pPr>
              <w:spacing w:after="0"/>
              <w:ind w:left="0"/>
              <w:rPr>
                <w:rFonts w:cstheme="minorHAnsi"/>
                <w:b/>
                <w:bCs/>
                <w:lang w:eastAsia="en-GB"/>
              </w:rPr>
            </w:pPr>
            <w:r w:rsidRPr="00496FC6">
              <w:rPr>
                <w:rFonts w:cstheme="minorHAnsi"/>
                <w:b/>
                <w:bCs/>
                <w:lang w:eastAsia="en-GB"/>
              </w:rPr>
              <w:t>2.</w:t>
            </w:r>
          </w:p>
        </w:tc>
        <w:tc>
          <w:tcPr>
            <w:tcW w:w="5245" w:type="dxa"/>
          </w:tcPr>
          <w:p w14:paraId="50C865CD" w14:textId="05B2BCD1" w:rsidR="004055A3" w:rsidRPr="00496FC6" w:rsidRDefault="003533DE" w:rsidP="003533DE">
            <w:pPr>
              <w:spacing w:after="0"/>
              <w:ind w:left="0"/>
              <w:rPr>
                <w:rFonts w:cstheme="minorHAnsi"/>
                <w:b/>
                <w:bCs/>
                <w:lang w:eastAsia="en-GB"/>
              </w:rPr>
            </w:pPr>
            <w:r w:rsidRPr="00496FC6">
              <w:rPr>
                <w:rFonts w:cstheme="minorHAnsi"/>
                <w:b/>
                <w:bCs/>
                <w:lang w:eastAsia="en-GB"/>
              </w:rPr>
              <w:t>TIER 1 CAPITAL</w:t>
            </w:r>
          </w:p>
        </w:tc>
        <w:tc>
          <w:tcPr>
            <w:tcW w:w="1559" w:type="dxa"/>
          </w:tcPr>
          <w:p w14:paraId="32F63873" w14:textId="3B0A7BB5" w:rsidR="004055A3" w:rsidRPr="004C4C1F" w:rsidRDefault="00BA24E1" w:rsidP="00CE1AD1">
            <w:pPr>
              <w:spacing w:after="0"/>
              <w:ind w:left="0"/>
              <w:jc w:val="center"/>
              <w:rPr>
                <w:rFonts w:cstheme="minorHAnsi"/>
                <w:b/>
                <w:bCs/>
                <w:lang w:eastAsia="en-GB"/>
              </w:rPr>
            </w:pPr>
            <w:r w:rsidRPr="004C4C1F">
              <w:rPr>
                <w:rFonts w:cstheme="minorHAnsi"/>
                <w:b/>
                <w:bCs/>
                <w:lang w:eastAsia="en-GB"/>
              </w:rPr>
              <w:t>3</w:t>
            </w:r>
            <w:r w:rsidR="00AE253B">
              <w:rPr>
                <w:rFonts w:cstheme="minorHAnsi"/>
                <w:b/>
                <w:bCs/>
                <w:lang w:eastAsia="en-GB"/>
              </w:rPr>
              <w:t>3,337</w:t>
            </w:r>
          </w:p>
        </w:tc>
        <w:tc>
          <w:tcPr>
            <w:tcW w:w="1650" w:type="dxa"/>
          </w:tcPr>
          <w:p w14:paraId="2AE0587D" w14:textId="77777777" w:rsidR="004055A3" w:rsidRPr="004C4C1F" w:rsidRDefault="004055A3" w:rsidP="003533DE">
            <w:pPr>
              <w:spacing w:after="0"/>
              <w:ind w:left="0"/>
              <w:rPr>
                <w:rFonts w:cstheme="minorHAnsi"/>
                <w:b/>
                <w:bCs/>
                <w:lang w:eastAsia="en-GB"/>
              </w:rPr>
            </w:pPr>
          </w:p>
        </w:tc>
      </w:tr>
      <w:tr w:rsidR="004055A3" w:rsidRPr="00496FC6" w14:paraId="7E54C164" w14:textId="77777777" w:rsidTr="003533DE">
        <w:tc>
          <w:tcPr>
            <w:tcW w:w="562" w:type="dxa"/>
          </w:tcPr>
          <w:p w14:paraId="16499EC4" w14:textId="602D389E" w:rsidR="004055A3" w:rsidRPr="00496FC6" w:rsidRDefault="00F341B8" w:rsidP="003533DE">
            <w:pPr>
              <w:spacing w:after="0"/>
              <w:ind w:left="0"/>
              <w:rPr>
                <w:rFonts w:cstheme="minorHAnsi"/>
                <w:b/>
                <w:bCs/>
                <w:lang w:eastAsia="en-GB"/>
              </w:rPr>
            </w:pPr>
            <w:r w:rsidRPr="00496FC6">
              <w:rPr>
                <w:rFonts w:cstheme="minorHAnsi"/>
                <w:b/>
                <w:bCs/>
                <w:lang w:eastAsia="en-GB"/>
              </w:rPr>
              <w:t>3.</w:t>
            </w:r>
          </w:p>
        </w:tc>
        <w:tc>
          <w:tcPr>
            <w:tcW w:w="5245" w:type="dxa"/>
          </w:tcPr>
          <w:p w14:paraId="215C7695" w14:textId="486CF42B" w:rsidR="004055A3" w:rsidRPr="00496FC6" w:rsidRDefault="003533DE" w:rsidP="003533DE">
            <w:pPr>
              <w:spacing w:after="0"/>
              <w:ind w:left="0"/>
              <w:rPr>
                <w:rFonts w:cstheme="minorHAnsi"/>
                <w:b/>
                <w:bCs/>
                <w:lang w:eastAsia="en-GB"/>
              </w:rPr>
            </w:pPr>
            <w:r w:rsidRPr="00496FC6">
              <w:rPr>
                <w:rFonts w:cstheme="minorHAnsi"/>
                <w:b/>
                <w:bCs/>
                <w:lang w:eastAsia="en-GB"/>
              </w:rPr>
              <w:t>COMMON EQUITY TIER 1 CAPITAL</w:t>
            </w:r>
          </w:p>
        </w:tc>
        <w:tc>
          <w:tcPr>
            <w:tcW w:w="1559" w:type="dxa"/>
          </w:tcPr>
          <w:p w14:paraId="733E0080" w14:textId="77777777" w:rsidR="004055A3" w:rsidRPr="004C4C1F" w:rsidRDefault="004055A3" w:rsidP="00CE1AD1">
            <w:pPr>
              <w:spacing w:after="0"/>
              <w:ind w:left="0"/>
              <w:jc w:val="center"/>
              <w:rPr>
                <w:rFonts w:cstheme="minorHAnsi"/>
                <w:b/>
                <w:bCs/>
                <w:lang w:eastAsia="en-GB"/>
              </w:rPr>
            </w:pPr>
          </w:p>
        </w:tc>
        <w:tc>
          <w:tcPr>
            <w:tcW w:w="1650" w:type="dxa"/>
          </w:tcPr>
          <w:p w14:paraId="2CA62E8E" w14:textId="77777777" w:rsidR="004055A3" w:rsidRPr="004C4C1F" w:rsidRDefault="004055A3" w:rsidP="003533DE">
            <w:pPr>
              <w:spacing w:after="0"/>
              <w:ind w:left="0"/>
              <w:rPr>
                <w:rFonts w:cstheme="minorHAnsi"/>
                <w:b/>
                <w:bCs/>
                <w:lang w:eastAsia="en-GB"/>
              </w:rPr>
            </w:pPr>
          </w:p>
        </w:tc>
      </w:tr>
      <w:tr w:rsidR="004055A3" w:rsidRPr="00496FC6" w14:paraId="13C09A80" w14:textId="77777777" w:rsidTr="003533DE">
        <w:tc>
          <w:tcPr>
            <w:tcW w:w="562" w:type="dxa"/>
          </w:tcPr>
          <w:p w14:paraId="148C284B" w14:textId="41E1FA70" w:rsidR="004055A3" w:rsidRPr="00496FC6" w:rsidRDefault="00F341B8" w:rsidP="003533DE">
            <w:pPr>
              <w:spacing w:after="0"/>
              <w:ind w:left="0"/>
              <w:rPr>
                <w:rFonts w:cstheme="minorHAnsi"/>
                <w:lang w:eastAsia="en-GB"/>
              </w:rPr>
            </w:pPr>
            <w:r w:rsidRPr="00496FC6">
              <w:rPr>
                <w:rFonts w:cstheme="minorHAnsi"/>
                <w:lang w:eastAsia="en-GB"/>
              </w:rPr>
              <w:t>4.</w:t>
            </w:r>
          </w:p>
        </w:tc>
        <w:tc>
          <w:tcPr>
            <w:tcW w:w="5245" w:type="dxa"/>
          </w:tcPr>
          <w:p w14:paraId="5FF28E99" w14:textId="5C86B539" w:rsidR="004055A3" w:rsidRPr="00496FC6" w:rsidRDefault="003533DE" w:rsidP="003533DE">
            <w:pPr>
              <w:spacing w:after="0"/>
              <w:ind w:left="0"/>
              <w:rPr>
                <w:rFonts w:cstheme="minorHAnsi"/>
                <w:lang w:eastAsia="en-GB"/>
              </w:rPr>
            </w:pPr>
            <w:r w:rsidRPr="00496FC6">
              <w:rPr>
                <w:rFonts w:cstheme="minorHAnsi"/>
              </w:rPr>
              <w:t xml:space="preserve">Fully </w:t>
            </w:r>
            <w:proofErr w:type="gramStart"/>
            <w:r w:rsidRPr="00496FC6">
              <w:rPr>
                <w:rFonts w:cstheme="minorHAnsi"/>
              </w:rPr>
              <w:t>paid up</w:t>
            </w:r>
            <w:proofErr w:type="gramEnd"/>
            <w:r w:rsidRPr="00496FC6">
              <w:rPr>
                <w:rFonts w:cstheme="minorHAnsi"/>
              </w:rPr>
              <w:t xml:space="preserve"> capital instruments</w:t>
            </w:r>
          </w:p>
        </w:tc>
        <w:tc>
          <w:tcPr>
            <w:tcW w:w="1559" w:type="dxa"/>
          </w:tcPr>
          <w:p w14:paraId="77557D1D" w14:textId="53AC37D5" w:rsidR="004055A3" w:rsidRPr="004C4C1F" w:rsidRDefault="001D77D6" w:rsidP="00CE1AD1">
            <w:pPr>
              <w:spacing w:after="0"/>
              <w:ind w:left="0"/>
              <w:jc w:val="center"/>
              <w:rPr>
                <w:rFonts w:cstheme="minorHAnsi"/>
                <w:lang w:eastAsia="en-GB"/>
              </w:rPr>
            </w:pPr>
            <w:r>
              <w:rPr>
                <w:rFonts w:cstheme="minorHAnsi"/>
                <w:lang w:eastAsia="en-GB"/>
              </w:rPr>
              <w:t>9,150</w:t>
            </w:r>
          </w:p>
        </w:tc>
        <w:tc>
          <w:tcPr>
            <w:tcW w:w="1650" w:type="dxa"/>
          </w:tcPr>
          <w:p w14:paraId="25ADB334" w14:textId="3107B848" w:rsidR="004055A3" w:rsidRPr="004C4C1F" w:rsidRDefault="00881645" w:rsidP="003533DE">
            <w:pPr>
              <w:spacing w:after="0"/>
              <w:ind w:left="0"/>
              <w:rPr>
                <w:rFonts w:cstheme="minorHAnsi"/>
                <w:lang w:eastAsia="en-GB"/>
              </w:rPr>
            </w:pPr>
            <w:r w:rsidRPr="004C4C1F">
              <w:rPr>
                <w:rFonts w:cstheme="minorHAnsi"/>
                <w:lang w:eastAsia="en-GB"/>
              </w:rPr>
              <w:t xml:space="preserve">Box </w:t>
            </w:r>
            <w:r w:rsidR="008B2924">
              <w:rPr>
                <w:rFonts w:cstheme="minorHAnsi"/>
                <w:lang w:eastAsia="en-GB"/>
              </w:rPr>
              <w:t>7</w:t>
            </w:r>
          </w:p>
        </w:tc>
      </w:tr>
      <w:tr w:rsidR="004055A3" w:rsidRPr="00496FC6" w14:paraId="4D1228A5" w14:textId="77777777" w:rsidTr="003533DE">
        <w:tc>
          <w:tcPr>
            <w:tcW w:w="562" w:type="dxa"/>
          </w:tcPr>
          <w:p w14:paraId="5EF3D459" w14:textId="155169E4" w:rsidR="004055A3" w:rsidRPr="00496FC6" w:rsidRDefault="00F341B8" w:rsidP="003533DE">
            <w:pPr>
              <w:spacing w:after="0"/>
              <w:ind w:left="0"/>
              <w:rPr>
                <w:rFonts w:cstheme="minorHAnsi"/>
                <w:lang w:eastAsia="en-GB"/>
              </w:rPr>
            </w:pPr>
            <w:r w:rsidRPr="00496FC6">
              <w:rPr>
                <w:rFonts w:cstheme="minorHAnsi"/>
                <w:lang w:eastAsia="en-GB"/>
              </w:rPr>
              <w:t>5.</w:t>
            </w:r>
          </w:p>
        </w:tc>
        <w:tc>
          <w:tcPr>
            <w:tcW w:w="5245" w:type="dxa"/>
          </w:tcPr>
          <w:p w14:paraId="4B264ED8" w14:textId="0DB2C690" w:rsidR="004055A3" w:rsidRPr="00496FC6" w:rsidRDefault="003533DE" w:rsidP="003533DE">
            <w:pPr>
              <w:spacing w:after="0"/>
              <w:ind w:left="0"/>
              <w:rPr>
                <w:rFonts w:cstheme="minorHAnsi"/>
                <w:lang w:eastAsia="en-GB"/>
              </w:rPr>
            </w:pPr>
            <w:r w:rsidRPr="00496FC6">
              <w:rPr>
                <w:rFonts w:cstheme="minorHAnsi"/>
              </w:rPr>
              <w:t>Share premium</w:t>
            </w:r>
          </w:p>
        </w:tc>
        <w:tc>
          <w:tcPr>
            <w:tcW w:w="1559" w:type="dxa"/>
          </w:tcPr>
          <w:p w14:paraId="17AB9F9E" w14:textId="757D743F" w:rsidR="004055A3" w:rsidRPr="004C4C1F" w:rsidRDefault="0086337D" w:rsidP="00CE1AD1">
            <w:pPr>
              <w:spacing w:after="0"/>
              <w:ind w:left="0"/>
              <w:jc w:val="center"/>
              <w:rPr>
                <w:rFonts w:cstheme="minorHAnsi"/>
                <w:lang w:eastAsia="en-GB"/>
              </w:rPr>
            </w:pPr>
            <w:r w:rsidRPr="004C4C1F">
              <w:rPr>
                <w:rFonts w:cstheme="minorHAnsi"/>
                <w:lang w:eastAsia="en-GB"/>
              </w:rPr>
              <w:t>-</w:t>
            </w:r>
          </w:p>
        </w:tc>
        <w:tc>
          <w:tcPr>
            <w:tcW w:w="1650" w:type="dxa"/>
          </w:tcPr>
          <w:p w14:paraId="2E174080" w14:textId="45DAB156" w:rsidR="004055A3" w:rsidRPr="004C4C1F" w:rsidRDefault="004055A3" w:rsidP="003533DE">
            <w:pPr>
              <w:spacing w:after="0"/>
              <w:ind w:left="0"/>
              <w:rPr>
                <w:rFonts w:cstheme="minorHAnsi"/>
                <w:lang w:eastAsia="en-GB"/>
              </w:rPr>
            </w:pPr>
          </w:p>
        </w:tc>
      </w:tr>
      <w:tr w:rsidR="004055A3" w:rsidRPr="00496FC6" w14:paraId="45924420" w14:textId="77777777" w:rsidTr="003533DE">
        <w:tc>
          <w:tcPr>
            <w:tcW w:w="562" w:type="dxa"/>
          </w:tcPr>
          <w:p w14:paraId="4CAE19FB" w14:textId="6F580314" w:rsidR="004055A3" w:rsidRPr="00496FC6" w:rsidRDefault="00F341B8" w:rsidP="003533DE">
            <w:pPr>
              <w:spacing w:after="0"/>
              <w:ind w:left="0"/>
              <w:rPr>
                <w:rFonts w:cstheme="minorHAnsi"/>
                <w:lang w:eastAsia="en-GB"/>
              </w:rPr>
            </w:pPr>
            <w:r w:rsidRPr="00496FC6">
              <w:rPr>
                <w:rFonts w:cstheme="minorHAnsi"/>
                <w:lang w:eastAsia="en-GB"/>
              </w:rPr>
              <w:t>6.</w:t>
            </w:r>
          </w:p>
        </w:tc>
        <w:tc>
          <w:tcPr>
            <w:tcW w:w="5245" w:type="dxa"/>
          </w:tcPr>
          <w:p w14:paraId="4E279C6E" w14:textId="718153FC" w:rsidR="004055A3" w:rsidRPr="00496FC6" w:rsidRDefault="003533DE" w:rsidP="003533DE">
            <w:pPr>
              <w:spacing w:after="0"/>
              <w:ind w:left="0"/>
              <w:rPr>
                <w:rFonts w:cstheme="minorHAnsi"/>
                <w:lang w:eastAsia="en-GB"/>
              </w:rPr>
            </w:pPr>
            <w:r w:rsidRPr="00496FC6">
              <w:rPr>
                <w:rFonts w:cstheme="minorHAnsi"/>
              </w:rPr>
              <w:t>Retained earnings</w:t>
            </w:r>
          </w:p>
        </w:tc>
        <w:tc>
          <w:tcPr>
            <w:tcW w:w="1559" w:type="dxa"/>
          </w:tcPr>
          <w:p w14:paraId="60A91787" w14:textId="76DCF23D" w:rsidR="004055A3" w:rsidRPr="004C4C1F" w:rsidRDefault="0086337D" w:rsidP="00CE1AD1">
            <w:pPr>
              <w:spacing w:after="0"/>
              <w:ind w:left="0"/>
              <w:jc w:val="center"/>
              <w:rPr>
                <w:rFonts w:cstheme="minorHAnsi"/>
                <w:lang w:eastAsia="en-GB"/>
              </w:rPr>
            </w:pPr>
            <w:r w:rsidRPr="004C4C1F">
              <w:rPr>
                <w:rFonts w:cstheme="minorHAnsi"/>
                <w:lang w:eastAsia="en-GB"/>
              </w:rPr>
              <w:t>2</w:t>
            </w:r>
            <w:r w:rsidR="00AE253B">
              <w:rPr>
                <w:rFonts w:cstheme="minorHAnsi"/>
                <w:lang w:eastAsia="en-GB"/>
              </w:rPr>
              <w:t>3,862</w:t>
            </w:r>
          </w:p>
        </w:tc>
        <w:tc>
          <w:tcPr>
            <w:tcW w:w="1650" w:type="dxa"/>
          </w:tcPr>
          <w:p w14:paraId="51F881A4" w14:textId="6C02D86A" w:rsidR="004055A3" w:rsidRPr="004C4C1F" w:rsidRDefault="00192A09" w:rsidP="003533DE">
            <w:pPr>
              <w:spacing w:after="0"/>
              <w:ind w:left="0"/>
              <w:rPr>
                <w:rFonts w:cstheme="minorHAnsi"/>
                <w:lang w:eastAsia="en-GB"/>
              </w:rPr>
            </w:pPr>
            <w:r w:rsidRPr="004C4C1F">
              <w:rPr>
                <w:rFonts w:cstheme="minorHAnsi"/>
                <w:lang w:eastAsia="en-GB"/>
              </w:rPr>
              <w:t xml:space="preserve">Box </w:t>
            </w:r>
            <w:r w:rsidR="008B2924">
              <w:rPr>
                <w:rFonts w:cstheme="minorHAnsi"/>
                <w:lang w:eastAsia="en-GB"/>
              </w:rPr>
              <w:t>8</w:t>
            </w:r>
          </w:p>
        </w:tc>
      </w:tr>
      <w:tr w:rsidR="004055A3" w:rsidRPr="00496FC6" w14:paraId="329D79EC" w14:textId="77777777" w:rsidTr="003533DE">
        <w:tc>
          <w:tcPr>
            <w:tcW w:w="562" w:type="dxa"/>
          </w:tcPr>
          <w:p w14:paraId="174C4769" w14:textId="1E7AF966" w:rsidR="004055A3" w:rsidRPr="00496FC6" w:rsidRDefault="00F341B8" w:rsidP="003533DE">
            <w:pPr>
              <w:spacing w:after="0"/>
              <w:ind w:left="0"/>
              <w:rPr>
                <w:rFonts w:cstheme="minorHAnsi"/>
                <w:lang w:eastAsia="en-GB"/>
              </w:rPr>
            </w:pPr>
            <w:r w:rsidRPr="00496FC6">
              <w:rPr>
                <w:rFonts w:cstheme="minorHAnsi"/>
                <w:lang w:eastAsia="en-GB"/>
              </w:rPr>
              <w:t>7.</w:t>
            </w:r>
          </w:p>
        </w:tc>
        <w:tc>
          <w:tcPr>
            <w:tcW w:w="5245" w:type="dxa"/>
          </w:tcPr>
          <w:p w14:paraId="645C3B11" w14:textId="70E1288E" w:rsidR="004055A3" w:rsidRPr="00496FC6" w:rsidRDefault="003533DE" w:rsidP="003533DE">
            <w:pPr>
              <w:spacing w:after="0"/>
              <w:ind w:left="0"/>
              <w:rPr>
                <w:rFonts w:cstheme="minorHAnsi"/>
                <w:lang w:eastAsia="en-GB"/>
              </w:rPr>
            </w:pPr>
            <w:r w:rsidRPr="00496FC6">
              <w:rPr>
                <w:rFonts w:cstheme="minorHAnsi"/>
              </w:rPr>
              <w:t>Accumulated other comprehensive income</w:t>
            </w:r>
          </w:p>
        </w:tc>
        <w:tc>
          <w:tcPr>
            <w:tcW w:w="1559" w:type="dxa"/>
          </w:tcPr>
          <w:p w14:paraId="4152F6A8" w14:textId="185DB476" w:rsidR="004055A3" w:rsidRPr="004C4C1F" w:rsidRDefault="00111914" w:rsidP="00CE1AD1">
            <w:pPr>
              <w:spacing w:after="0"/>
              <w:ind w:left="0"/>
              <w:jc w:val="center"/>
              <w:rPr>
                <w:rFonts w:cstheme="minorHAnsi"/>
                <w:lang w:eastAsia="en-GB"/>
              </w:rPr>
            </w:pPr>
            <w:r w:rsidRPr="004C4C1F">
              <w:rPr>
                <w:rFonts w:cstheme="minorHAnsi"/>
                <w:lang w:eastAsia="en-GB"/>
              </w:rPr>
              <w:t>-</w:t>
            </w:r>
          </w:p>
        </w:tc>
        <w:tc>
          <w:tcPr>
            <w:tcW w:w="1650" w:type="dxa"/>
          </w:tcPr>
          <w:p w14:paraId="26CD720F" w14:textId="77777777" w:rsidR="004055A3" w:rsidRPr="004C4C1F" w:rsidRDefault="004055A3" w:rsidP="003533DE">
            <w:pPr>
              <w:spacing w:after="0"/>
              <w:ind w:left="0"/>
              <w:rPr>
                <w:rFonts w:cstheme="minorHAnsi"/>
                <w:lang w:eastAsia="en-GB"/>
              </w:rPr>
            </w:pPr>
          </w:p>
        </w:tc>
      </w:tr>
      <w:tr w:rsidR="00F341B8" w:rsidRPr="00496FC6" w14:paraId="7443FCCD" w14:textId="77777777" w:rsidTr="003533DE">
        <w:tc>
          <w:tcPr>
            <w:tcW w:w="562" w:type="dxa"/>
          </w:tcPr>
          <w:p w14:paraId="13A8194D" w14:textId="6EBE7D84" w:rsidR="00F341B8" w:rsidRPr="00496FC6" w:rsidRDefault="00F341B8" w:rsidP="003533DE">
            <w:pPr>
              <w:spacing w:after="0"/>
              <w:ind w:left="0"/>
              <w:rPr>
                <w:rFonts w:cstheme="minorHAnsi"/>
                <w:lang w:eastAsia="en-GB"/>
              </w:rPr>
            </w:pPr>
            <w:r w:rsidRPr="00496FC6">
              <w:rPr>
                <w:rFonts w:cstheme="minorHAnsi"/>
                <w:lang w:eastAsia="en-GB"/>
              </w:rPr>
              <w:t>8.</w:t>
            </w:r>
          </w:p>
        </w:tc>
        <w:tc>
          <w:tcPr>
            <w:tcW w:w="5245" w:type="dxa"/>
          </w:tcPr>
          <w:p w14:paraId="32DF5153" w14:textId="75D4C2EA" w:rsidR="00F341B8" w:rsidRPr="00496FC6" w:rsidRDefault="003533DE" w:rsidP="003533DE">
            <w:pPr>
              <w:spacing w:after="0"/>
              <w:ind w:left="0"/>
              <w:rPr>
                <w:rFonts w:cstheme="minorHAnsi"/>
                <w:lang w:eastAsia="en-GB"/>
              </w:rPr>
            </w:pPr>
            <w:r w:rsidRPr="00496FC6">
              <w:rPr>
                <w:rFonts w:cstheme="minorHAnsi"/>
              </w:rPr>
              <w:t>Other reserves</w:t>
            </w:r>
          </w:p>
        </w:tc>
        <w:tc>
          <w:tcPr>
            <w:tcW w:w="1559" w:type="dxa"/>
          </w:tcPr>
          <w:p w14:paraId="3C3FB964" w14:textId="2F088D3F" w:rsidR="00F341B8" w:rsidRPr="004C4C1F" w:rsidRDefault="0086337D" w:rsidP="00CE1AD1">
            <w:pPr>
              <w:spacing w:after="0"/>
              <w:ind w:left="0"/>
              <w:jc w:val="center"/>
              <w:rPr>
                <w:rFonts w:cstheme="minorHAnsi"/>
                <w:lang w:eastAsia="en-GB"/>
              </w:rPr>
            </w:pPr>
            <w:r w:rsidRPr="004C4C1F">
              <w:rPr>
                <w:rFonts w:cstheme="minorHAnsi"/>
                <w:lang w:eastAsia="en-GB"/>
              </w:rPr>
              <w:t>-</w:t>
            </w:r>
          </w:p>
        </w:tc>
        <w:tc>
          <w:tcPr>
            <w:tcW w:w="1650" w:type="dxa"/>
          </w:tcPr>
          <w:p w14:paraId="73B7FBCE" w14:textId="42C1EA87" w:rsidR="00F341B8" w:rsidRPr="004C4C1F" w:rsidRDefault="00F341B8" w:rsidP="003533DE">
            <w:pPr>
              <w:spacing w:after="0"/>
              <w:ind w:left="0"/>
              <w:rPr>
                <w:rFonts w:cstheme="minorHAnsi"/>
                <w:lang w:eastAsia="en-GB"/>
              </w:rPr>
            </w:pPr>
          </w:p>
        </w:tc>
      </w:tr>
      <w:tr w:rsidR="00F341B8" w:rsidRPr="00496FC6" w14:paraId="6FCBD0EF" w14:textId="77777777" w:rsidTr="003533DE">
        <w:tc>
          <w:tcPr>
            <w:tcW w:w="562" w:type="dxa"/>
          </w:tcPr>
          <w:p w14:paraId="0AF5C2AF" w14:textId="1CE22B63" w:rsidR="00F341B8" w:rsidRPr="00496FC6" w:rsidRDefault="00F341B8" w:rsidP="003533DE">
            <w:pPr>
              <w:spacing w:after="0"/>
              <w:ind w:left="0"/>
              <w:rPr>
                <w:rFonts w:cstheme="minorHAnsi"/>
                <w:lang w:eastAsia="en-GB"/>
              </w:rPr>
            </w:pPr>
            <w:r w:rsidRPr="00496FC6">
              <w:rPr>
                <w:rFonts w:cstheme="minorHAnsi"/>
                <w:lang w:eastAsia="en-GB"/>
              </w:rPr>
              <w:t>9.</w:t>
            </w:r>
          </w:p>
        </w:tc>
        <w:tc>
          <w:tcPr>
            <w:tcW w:w="5245" w:type="dxa"/>
          </w:tcPr>
          <w:p w14:paraId="113A590B" w14:textId="36916B08" w:rsidR="00F341B8" w:rsidRPr="00496FC6" w:rsidRDefault="003533DE" w:rsidP="003533DE">
            <w:pPr>
              <w:spacing w:after="0"/>
              <w:ind w:left="0"/>
              <w:rPr>
                <w:rFonts w:cstheme="minorHAnsi"/>
                <w:lang w:eastAsia="en-GB"/>
              </w:rPr>
            </w:pPr>
            <w:r w:rsidRPr="00496FC6">
              <w:rPr>
                <w:rFonts w:cstheme="minorHAnsi"/>
              </w:rPr>
              <w:t>Adjustments to CET1 due to prudential filters</w:t>
            </w:r>
          </w:p>
        </w:tc>
        <w:tc>
          <w:tcPr>
            <w:tcW w:w="1559" w:type="dxa"/>
          </w:tcPr>
          <w:p w14:paraId="0676A795" w14:textId="285EBC30" w:rsidR="00F341B8" w:rsidRPr="004C4C1F" w:rsidRDefault="00CB61DE" w:rsidP="00CE1AD1">
            <w:pPr>
              <w:spacing w:after="0"/>
              <w:ind w:left="0"/>
              <w:jc w:val="center"/>
              <w:rPr>
                <w:rFonts w:cstheme="minorHAnsi"/>
                <w:lang w:eastAsia="en-GB"/>
              </w:rPr>
            </w:pPr>
            <w:r w:rsidRPr="004C4C1F">
              <w:rPr>
                <w:rFonts w:cstheme="minorHAnsi"/>
                <w:lang w:eastAsia="en-GB"/>
              </w:rPr>
              <w:t>-</w:t>
            </w:r>
          </w:p>
        </w:tc>
        <w:tc>
          <w:tcPr>
            <w:tcW w:w="1650" w:type="dxa"/>
          </w:tcPr>
          <w:p w14:paraId="1107B588" w14:textId="77777777" w:rsidR="00F341B8" w:rsidRPr="004C4C1F" w:rsidRDefault="00F341B8" w:rsidP="003533DE">
            <w:pPr>
              <w:spacing w:after="0"/>
              <w:ind w:left="0"/>
              <w:rPr>
                <w:rFonts w:cstheme="minorHAnsi"/>
                <w:lang w:eastAsia="en-GB"/>
              </w:rPr>
            </w:pPr>
          </w:p>
        </w:tc>
      </w:tr>
      <w:tr w:rsidR="00F341B8" w:rsidRPr="00496FC6" w14:paraId="295D54C4" w14:textId="77777777" w:rsidTr="003533DE">
        <w:tc>
          <w:tcPr>
            <w:tcW w:w="562" w:type="dxa"/>
          </w:tcPr>
          <w:p w14:paraId="03CE4577" w14:textId="5F90258C" w:rsidR="00F341B8" w:rsidRPr="00496FC6" w:rsidRDefault="00F341B8" w:rsidP="003533DE">
            <w:pPr>
              <w:spacing w:after="0"/>
              <w:ind w:left="0"/>
              <w:rPr>
                <w:rFonts w:cstheme="minorHAnsi"/>
                <w:lang w:eastAsia="en-GB"/>
              </w:rPr>
            </w:pPr>
            <w:r w:rsidRPr="00496FC6">
              <w:rPr>
                <w:rFonts w:cstheme="minorHAnsi"/>
                <w:lang w:eastAsia="en-GB"/>
              </w:rPr>
              <w:t>10.</w:t>
            </w:r>
          </w:p>
        </w:tc>
        <w:tc>
          <w:tcPr>
            <w:tcW w:w="5245" w:type="dxa"/>
          </w:tcPr>
          <w:p w14:paraId="1B4B9FDA" w14:textId="02DBA53E" w:rsidR="00F341B8" w:rsidRPr="00496FC6" w:rsidRDefault="003533DE" w:rsidP="003533DE">
            <w:pPr>
              <w:spacing w:after="0"/>
              <w:ind w:left="0"/>
              <w:rPr>
                <w:rFonts w:cstheme="minorHAnsi"/>
                <w:lang w:eastAsia="en-GB"/>
              </w:rPr>
            </w:pPr>
            <w:r w:rsidRPr="00496FC6">
              <w:rPr>
                <w:rFonts w:cstheme="minorHAnsi"/>
              </w:rPr>
              <w:t>Other funds</w:t>
            </w:r>
          </w:p>
        </w:tc>
        <w:tc>
          <w:tcPr>
            <w:tcW w:w="1559" w:type="dxa"/>
          </w:tcPr>
          <w:p w14:paraId="3F403BD2" w14:textId="45B9FD51" w:rsidR="00F341B8" w:rsidRPr="004C4C1F" w:rsidRDefault="00FD13AC" w:rsidP="00CE1AD1">
            <w:pPr>
              <w:spacing w:after="0"/>
              <w:ind w:left="0"/>
              <w:jc w:val="center"/>
              <w:rPr>
                <w:rFonts w:cstheme="minorHAnsi"/>
                <w:lang w:eastAsia="en-GB"/>
              </w:rPr>
            </w:pPr>
            <w:r w:rsidRPr="004C4C1F">
              <w:rPr>
                <w:rFonts w:cstheme="minorHAnsi"/>
                <w:lang w:eastAsia="en-GB"/>
              </w:rPr>
              <w:t>-</w:t>
            </w:r>
          </w:p>
        </w:tc>
        <w:tc>
          <w:tcPr>
            <w:tcW w:w="1650" w:type="dxa"/>
          </w:tcPr>
          <w:p w14:paraId="1E43C806" w14:textId="77777777" w:rsidR="00F341B8" w:rsidRPr="004C4C1F" w:rsidRDefault="00F341B8" w:rsidP="003533DE">
            <w:pPr>
              <w:spacing w:after="0"/>
              <w:ind w:left="0"/>
              <w:rPr>
                <w:rFonts w:cstheme="minorHAnsi"/>
                <w:lang w:eastAsia="en-GB"/>
              </w:rPr>
            </w:pPr>
          </w:p>
        </w:tc>
      </w:tr>
      <w:tr w:rsidR="00F341B8" w:rsidRPr="00496FC6" w14:paraId="799AC7EF" w14:textId="77777777" w:rsidTr="003533DE">
        <w:tc>
          <w:tcPr>
            <w:tcW w:w="562" w:type="dxa"/>
          </w:tcPr>
          <w:p w14:paraId="6C8A4EF8" w14:textId="3B310F12" w:rsidR="00F341B8" w:rsidRPr="00496FC6" w:rsidRDefault="00F341B8" w:rsidP="003533DE">
            <w:pPr>
              <w:spacing w:after="0"/>
              <w:ind w:left="0"/>
              <w:rPr>
                <w:rFonts w:cstheme="minorHAnsi"/>
                <w:lang w:eastAsia="en-GB"/>
              </w:rPr>
            </w:pPr>
            <w:r w:rsidRPr="00496FC6">
              <w:rPr>
                <w:rFonts w:cstheme="minorHAnsi"/>
                <w:lang w:eastAsia="en-GB"/>
              </w:rPr>
              <w:t>11.</w:t>
            </w:r>
          </w:p>
        </w:tc>
        <w:tc>
          <w:tcPr>
            <w:tcW w:w="5245" w:type="dxa"/>
          </w:tcPr>
          <w:p w14:paraId="11048099" w14:textId="50978DD5" w:rsidR="00F341B8" w:rsidRPr="00496FC6" w:rsidRDefault="003533DE" w:rsidP="003533DE">
            <w:pPr>
              <w:spacing w:after="0"/>
              <w:ind w:left="0"/>
              <w:rPr>
                <w:rFonts w:cstheme="minorHAnsi"/>
                <w:lang w:eastAsia="en-GB"/>
              </w:rPr>
            </w:pPr>
            <w:r w:rsidRPr="00496FC6">
              <w:rPr>
                <w:rFonts w:cstheme="minorHAnsi"/>
              </w:rPr>
              <w:t>(</w:t>
            </w:r>
            <w:proofErr w:type="gramStart"/>
            <w:r w:rsidRPr="00496FC6">
              <w:rPr>
                <w:rFonts w:cstheme="minorHAnsi"/>
              </w:rPr>
              <w:t>-)TOTAL</w:t>
            </w:r>
            <w:proofErr w:type="gramEnd"/>
            <w:r w:rsidRPr="00496FC6">
              <w:rPr>
                <w:rFonts w:cstheme="minorHAnsi"/>
              </w:rPr>
              <w:t xml:space="preserve"> DEDUCTIONS FROM COMMON EQUITY TIER 1</w:t>
            </w:r>
          </w:p>
        </w:tc>
        <w:tc>
          <w:tcPr>
            <w:tcW w:w="1559" w:type="dxa"/>
          </w:tcPr>
          <w:p w14:paraId="74C634D6" w14:textId="76CB7AA2" w:rsidR="00F341B8" w:rsidRPr="004C4C1F" w:rsidRDefault="00FD13AC" w:rsidP="00CE1AD1">
            <w:pPr>
              <w:spacing w:after="0"/>
              <w:ind w:left="0"/>
              <w:jc w:val="center"/>
              <w:rPr>
                <w:rFonts w:cstheme="minorHAnsi"/>
                <w:lang w:eastAsia="en-GB"/>
              </w:rPr>
            </w:pPr>
            <w:r w:rsidRPr="004C4C1F">
              <w:rPr>
                <w:rFonts w:cstheme="minorHAnsi"/>
                <w:lang w:eastAsia="en-GB"/>
              </w:rPr>
              <w:t>-</w:t>
            </w:r>
          </w:p>
        </w:tc>
        <w:tc>
          <w:tcPr>
            <w:tcW w:w="1650" w:type="dxa"/>
          </w:tcPr>
          <w:p w14:paraId="72E5EBFA" w14:textId="77777777" w:rsidR="00F341B8" w:rsidRPr="004C4C1F" w:rsidRDefault="00F341B8" w:rsidP="003533DE">
            <w:pPr>
              <w:spacing w:after="0"/>
              <w:ind w:left="0"/>
              <w:rPr>
                <w:rFonts w:cstheme="minorHAnsi"/>
                <w:lang w:eastAsia="en-GB"/>
              </w:rPr>
            </w:pPr>
          </w:p>
        </w:tc>
      </w:tr>
      <w:tr w:rsidR="00F341B8" w:rsidRPr="00496FC6" w14:paraId="6CE7A7D1" w14:textId="77777777" w:rsidTr="003533DE">
        <w:tc>
          <w:tcPr>
            <w:tcW w:w="562" w:type="dxa"/>
          </w:tcPr>
          <w:p w14:paraId="61B3A8DB" w14:textId="32BB754C" w:rsidR="00F341B8" w:rsidRPr="00496FC6" w:rsidRDefault="00F341B8" w:rsidP="003533DE">
            <w:pPr>
              <w:spacing w:after="0"/>
              <w:ind w:left="0"/>
              <w:rPr>
                <w:rFonts w:cstheme="minorHAnsi"/>
                <w:lang w:eastAsia="en-GB"/>
              </w:rPr>
            </w:pPr>
            <w:r w:rsidRPr="00496FC6">
              <w:rPr>
                <w:rFonts w:cstheme="minorHAnsi"/>
                <w:lang w:eastAsia="en-GB"/>
              </w:rPr>
              <w:t>19.</w:t>
            </w:r>
          </w:p>
        </w:tc>
        <w:tc>
          <w:tcPr>
            <w:tcW w:w="5245" w:type="dxa"/>
          </w:tcPr>
          <w:p w14:paraId="4461CF32" w14:textId="155E509C" w:rsidR="00F341B8" w:rsidRPr="00496FC6" w:rsidRDefault="003533DE" w:rsidP="003533DE">
            <w:pPr>
              <w:spacing w:after="0"/>
              <w:ind w:left="0"/>
              <w:rPr>
                <w:rFonts w:cstheme="minorHAnsi"/>
                <w:lang w:eastAsia="en-GB"/>
              </w:rPr>
            </w:pPr>
            <w:r w:rsidRPr="00496FC6">
              <w:rPr>
                <w:rFonts w:cstheme="minorHAnsi"/>
              </w:rPr>
              <w:t xml:space="preserve">CET1: Other capital elements, </w:t>
            </w:r>
            <w:proofErr w:type="gramStart"/>
            <w:r w:rsidRPr="00496FC6">
              <w:rPr>
                <w:rFonts w:cstheme="minorHAnsi"/>
              </w:rPr>
              <w:t>deductions</w:t>
            </w:r>
            <w:proofErr w:type="gramEnd"/>
            <w:r w:rsidRPr="00496FC6">
              <w:rPr>
                <w:rFonts w:cstheme="minorHAnsi"/>
              </w:rPr>
              <w:t xml:space="preserve"> and adjustments</w:t>
            </w:r>
          </w:p>
        </w:tc>
        <w:tc>
          <w:tcPr>
            <w:tcW w:w="1559" w:type="dxa"/>
          </w:tcPr>
          <w:p w14:paraId="775691BE" w14:textId="323CDDA0" w:rsidR="00F341B8" w:rsidRPr="004C4C1F" w:rsidRDefault="0086337D" w:rsidP="00CE1AD1">
            <w:pPr>
              <w:spacing w:after="0"/>
              <w:ind w:left="0"/>
              <w:jc w:val="center"/>
              <w:rPr>
                <w:rFonts w:cstheme="minorHAnsi"/>
                <w:lang w:eastAsia="en-GB"/>
              </w:rPr>
            </w:pPr>
            <w:r w:rsidRPr="004C4C1F">
              <w:rPr>
                <w:rFonts w:cstheme="minorHAnsi"/>
                <w:lang w:eastAsia="en-GB"/>
              </w:rPr>
              <w:t>-</w:t>
            </w:r>
          </w:p>
        </w:tc>
        <w:tc>
          <w:tcPr>
            <w:tcW w:w="1650" w:type="dxa"/>
          </w:tcPr>
          <w:p w14:paraId="4F222B65" w14:textId="76752788" w:rsidR="00F341B8" w:rsidRPr="004C4C1F" w:rsidRDefault="00F341B8" w:rsidP="003533DE">
            <w:pPr>
              <w:spacing w:after="0"/>
              <w:ind w:left="0"/>
              <w:rPr>
                <w:rFonts w:cstheme="minorHAnsi"/>
                <w:lang w:eastAsia="en-GB"/>
              </w:rPr>
            </w:pPr>
          </w:p>
        </w:tc>
      </w:tr>
      <w:tr w:rsidR="00F341B8" w:rsidRPr="00496FC6" w14:paraId="2F55DEFE" w14:textId="77777777" w:rsidTr="003533DE">
        <w:tc>
          <w:tcPr>
            <w:tcW w:w="562" w:type="dxa"/>
          </w:tcPr>
          <w:p w14:paraId="580338C2" w14:textId="1D6C8A22" w:rsidR="00F341B8" w:rsidRPr="00496FC6" w:rsidRDefault="00F341B8" w:rsidP="003533DE">
            <w:pPr>
              <w:spacing w:after="0"/>
              <w:ind w:left="0"/>
              <w:rPr>
                <w:rFonts w:cstheme="minorHAnsi"/>
                <w:b/>
                <w:bCs/>
                <w:lang w:eastAsia="en-GB"/>
              </w:rPr>
            </w:pPr>
            <w:r w:rsidRPr="00496FC6">
              <w:rPr>
                <w:rFonts w:cstheme="minorHAnsi"/>
                <w:b/>
                <w:bCs/>
                <w:lang w:eastAsia="en-GB"/>
              </w:rPr>
              <w:t>20.</w:t>
            </w:r>
          </w:p>
        </w:tc>
        <w:tc>
          <w:tcPr>
            <w:tcW w:w="5245" w:type="dxa"/>
          </w:tcPr>
          <w:p w14:paraId="0EA5407F" w14:textId="3E46B60E" w:rsidR="00F341B8" w:rsidRPr="00496FC6" w:rsidRDefault="003533DE" w:rsidP="003533DE">
            <w:pPr>
              <w:spacing w:after="0"/>
              <w:ind w:left="0"/>
              <w:rPr>
                <w:rFonts w:cstheme="minorHAnsi"/>
                <w:b/>
                <w:bCs/>
                <w:lang w:eastAsia="en-GB"/>
              </w:rPr>
            </w:pPr>
            <w:r w:rsidRPr="00496FC6">
              <w:rPr>
                <w:rFonts w:cstheme="minorHAnsi"/>
                <w:b/>
                <w:bCs/>
              </w:rPr>
              <w:t>ADDITIONAL TIER 1 CAPITAL</w:t>
            </w:r>
          </w:p>
        </w:tc>
        <w:tc>
          <w:tcPr>
            <w:tcW w:w="1559" w:type="dxa"/>
          </w:tcPr>
          <w:p w14:paraId="74A80FB1" w14:textId="368F8E88" w:rsidR="00F341B8" w:rsidRPr="004C4C1F" w:rsidRDefault="00A553ED" w:rsidP="00CE1AD1">
            <w:pPr>
              <w:spacing w:after="0"/>
              <w:ind w:left="0"/>
              <w:jc w:val="center"/>
              <w:rPr>
                <w:rFonts w:cstheme="minorHAnsi"/>
                <w:b/>
                <w:bCs/>
                <w:lang w:eastAsia="en-GB"/>
              </w:rPr>
            </w:pPr>
            <w:r w:rsidRPr="004C4C1F">
              <w:rPr>
                <w:rFonts w:cstheme="minorHAnsi"/>
                <w:b/>
                <w:bCs/>
                <w:lang w:eastAsia="en-GB"/>
              </w:rPr>
              <w:t>-</w:t>
            </w:r>
          </w:p>
        </w:tc>
        <w:tc>
          <w:tcPr>
            <w:tcW w:w="1650" w:type="dxa"/>
          </w:tcPr>
          <w:p w14:paraId="6E6EE50C" w14:textId="77777777" w:rsidR="00F341B8" w:rsidRPr="004C4C1F" w:rsidRDefault="00F341B8" w:rsidP="003533DE">
            <w:pPr>
              <w:spacing w:after="0"/>
              <w:ind w:left="0"/>
              <w:rPr>
                <w:rFonts w:cstheme="minorHAnsi"/>
                <w:b/>
                <w:bCs/>
                <w:lang w:eastAsia="en-GB"/>
              </w:rPr>
            </w:pPr>
          </w:p>
        </w:tc>
      </w:tr>
      <w:tr w:rsidR="00F341B8" w:rsidRPr="00496FC6" w14:paraId="39D793CD" w14:textId="77777777" w:rsidTr="003533DE">
        <w:tc>
          <w:tcPr>
            <w:tcW w:w="562" w:type="dxa"/>
          </w:tcPr>
          <w:p w14:paraId="373347FC" w14:textId="4F26BE13" w:rsidR="00F341B8" w:rsidRPr="00496FC6" w:rsidRDefault="5E45F976" w:rsidP="003533DE">
            <w:pPr>
              <w:spacing w:after="0"/>
              <w:ind w:left="0"/>
              <w:rPr>
                <w:b/>
                <w:lang w:eastAsia="en-GB"/>
              </w:rPr>
            </w:pPr>
            <w:r w:rsidRPr="7F3F34CE">
              <w:rPr>
                <w:b/>
                <w:bCs/>
                <w:lang w:eastAsia="en-GB"/>
              </w:rPr>
              <w:t>2</w:t>
            </w:r>
            <w:r w:rsidR="1192530F" w:rsidRPr="7F3F34CE">
              <w:rPr>
                <w:b/>
                <w:bCs/>
                <w:lang w:eastAsia="en-GB"/>
              </w:rPr>
              <w:t>1</w:t>
            </w:r>
            <w:r w:rsidR="00F341B8" w:rsidRPr="7F3F34CE">
              <w:rPr>
                <w:b/>
                <w:lang w:eastAsia="en-GB"/>
              </w:rPr>
              <w:t>.</w:t>
            </w:r>
          </w:p>
        </w:tc>
        <w:tc>
          <w:tcPr>
            <w:tcW w:w="5245" w:type="dxa"/>
          </w:tcPr>
          <w:p w14:paraId="455D64CA" w14:textId="3725210E" w:rsidR="00F341B8" w:rsidRPr="00496FC6" w:rsidRDefault="003533DE" w:rsidP="003533DE">
            <w:pPr>
              <w:spacing w:after="0"/>
              <w:ind w:left="0"/>
              <w:rPr>
                <w:rFonts w:cstheme="minorHAnsi"/>
                <w:b/>
                <w:bCs/>
                <w:lang w:eastAsia="en-GB"/>
              </w:rPr>
            </w:pPr>
            <w:r w:rsidRPr="00496FC6">
              <w:rPr>
                <w:rFonts w:cstheme="minorHAnsi"/>
                <w:b/>
                <w:bCs/>
              </w:rPr>
              <w:t>TIER 2 CAPITAL</w:t>
            </w:r>
          </w:p>
        </w:tc>
        <w:tc>
          <w:tcPr>
            <w:tcW w:w="1559" w:type="dxa"/>
          </w:tcPr>
          <w:p w14:paraId="2AF075D9" w14:textId="616B4EAB" w:rsidR="00F341B8" w:rsidRPr="00496FC6" w:rsidRDefault="00651E6A" w:rsidP="00CE1AD1">
            <w:pPr>
              <w:spacing w:after="0"/>
              <w:ind w:left="0"/>
              <w:jc w:val="center"/>
              <w:rPr>
                <w:rFonts w:cstheme="minorHAnsi"/>
                <w:b/>
                <w:bCs/>
                <w:lang w:eastAsia="en-GB"/>
              </w:rPr>
            </w:pPr>
            <w:r>
              <w:rPr>
                <w:rFonts w:cstheme="minorHAnsi"/>
                <w:b/>
                <w:bCs/>
                <w:lang w:eastAsia="en-GB"/>
              </w:rPr>
              <w:t>-</w:t>
            </w:r>
          </w:p>
        </w:tc>
        <w:tc>
          <w:tcPr>
            <w:tcW w:w="1650" w:type="dxa"/>
          </w:tcPr>
          <w:p w14:paraId="65E5BEDA" w14:textId="77777777" w:rsidR="00F341B8" w:rsidRPr="00496FC6" w:rsidRDefault="00F341B8" w:rsidP="003533DE">
            <w:pPr>
              <w:spacing w:after="0"/>
              <w:ind w:left="0"/>
              <w:rPr>
                <w:rFonts w:cstheme="minorHAnsi"/>
                <w:b/>
                <w:bCs/>
                <w:lang w:eastAsia="en-GB"/>
              </w:rPr>
            </w:pPr>
          </w:p>
        </w:tc>
      </w:tr>
    </w:tbl>
    <w:p w14:paraId="432302D2" w14:textId="6DDF383F" w:rsidR="00D429CA" w:rsidRDefault="00D429CA" w:rsidP="00D9185C">
      <w:bookmarkStart w:id="49" w:name="_Toc635799120"/>
      <w:bookmarkEnd w:id="13"/>
    </w:p>
    <w:p w14:paraId="277DB948" w14:textId="1EB968C2" w:rsidR="00D429CA" w:rsidRDefault="00D429CA" w:rsidP="00D9185C"/>
    <w:p w14:paraId="49F4A64E" w14:textId="7D682CFF" w:rsidR="00D429CA" w:rsidRDefault="00D429CA" w:rsidP="00D9185C"/>
    <w:p w14:paraId="20933D55" w14:textId="77777777" w:rsidR="00D429CA" w:rsidRPr="00D429CA" w:rsidRDefault="00D429CA" w:rsidP="004B4FB2"/>
    <w:p w14:paraId="724588E5" w14:textId="2F671779" w:rsidR="00DC1DCB" w:rsidRPr="00496FC6" w:rsidRDefault="003533DE">
      <w:pPr>
        <w:pStyle w:val="Heading2"/>
        <w:numPr>
          <w:ilvl w:val="1"/>
          <w:numId w:val="2"/>
        </w:numPr>
        <w:rPr>
          <w:rFonts w:asciiTheme="minorHAnsi" w:hAnsiTheme="minorHAnsi" w:cstheme="minorBidi"/>
        </w:rPr>
      </w:pPr>
      <w:bookmarkStart w:id="50" w:name="_Toc139016576"/>
      <w:r w:rsidRPr="3498C462">
        <w:rPr>
          <w:rFonts w:asciiTheme="minorHAnsi" w:hAnsiTheme="minorHAnsi" w:cstheme="minorBidi"/>
        </w:rPr>
        <w:lastRenderedPageBreak/>
        <w:t>Main Features of Capital Instruments</w:t>
      </w:r>
      <w:bookmarkEnd w:id="49"/>
      <w:bookmarkEnd w:id="50"/>
    </w:p>
    <w:p w14:paraId="7A2C25D2" w14:textId="058CB13B" w:rsidR="00D429CA" w:rsidRPr="00496FC6" w:rsidRDefault="003533DE" w:rsidP="003533DE">
      <w:pPr>
        <w:ind w:left="0"/>
        <w:rPr>
          <w:rFonts w:cstheme="minorHAnsi"/>
        </w:rPr>
      </w:pPr>
      <w:r w:rsidRPr="00496FC6">
        <w:rPr>
          <w:rFonts w:cstheme="minorHAnsi"/>
        </w:rPr>
        <w:br/>
        <w:t xml:space="preserve">The </w:t>
      </w:r>
      <w:r w:rsidR="008D08F3">
        <w:rPr>
          <w:rFonts w:cstheme="minorHAnsi"/>
        </w:rPr>
        <w:t>Group</w:t>
      </w:r>
      <w:r w:rsidRPr="00496FC6">
        <w:rPr>
          <w:rFonts w:cstheme="minorHAnsi"/>
        </w:rPr>
        <w:t xml:space="preserve"> is obliged to disclose information on the main features of the CET 1 instruments, Additional Tier 1 instruments</w:t>
      </w:r>
      <w:r w:rsidR="00AF6E7C">
        <w:rPr>
          <w:rFonts w:cstheme="minorHAnsi"/>
        </w:rPr>
        <w:t>,</w:t>
      </w:r>
      <w:r w:rsidRPr="00496FC6">
        <w:rPr>
          <w:rFonts w:cstheme="minorHAnsi"/>
        </w:rPr>
        <w:t xml:space="preserve"> and Tier 2 instruments. The </w:t>
      </w:r>
      <w:r w:rsidR="00195ABC">
        <w:rPr>
          <w:rFonts w:cstheme="minorHAnsi"/>
        </w:rPr>
        <w:t>Group</w:t>
      </w:r>
      <w:r w:rsidRPr="00496FC6">
        <w:rPr>
          <w:rFonts w:cstheme="minorHAnsi"/>
        </w:rPr>
        <w:t>’s capital instruments are outlined below:</w:t>
      </w:r>
    </w:p>
    <w:p w14:paraId="5A0E3873" w14:textId="73B46E8E" w:rsidR="003533DE" w:rsidRPr="00496FC6" w:rsidRDefault="003533DE" w:rsidP="00085D17">
      <w:pPr>
        <w:pStyle w:val="Caption"/>
        <w:keepNext/>
        <w:spacing w:after="0"/>
        <w:rPr>
          <w:b/>
          <w:color w:val="auto"/>
          <w:sz w:val="22"/>
          <w:szCs w:val="22"/>
        </w:rPr>
      </w:pPr>
      <w:r w:rsidRPr="7F3F34CE">
        <w:rPr>
          <w:b/>
          <w:color w:val="auto"/>
          <w:sz w:val="22"/>
          <w:szCs w:val="22"/>
        </w:rPr>
        <w:t xml:space="preserve">Table </w:t>
      </w:r>
      <w:r w:rsidR="00B31549">
        <w:rPr>
          <w:b/>
          <w:color w:val="auto"/>
          <w:sz w:val="22"/>
          <w:szCs w:val="22"/>
        </w:rPr>
        <w:fldChar w:fldCharType="begin"/>
      </w:r>
      <w:r w:rsidR="00B31549">
        <w:rPr>
          <w:b/>
          <w:color w:val="auto"/>
          <w:sz w:val="22"/>
          <w:szCs w:val="22"/>
        </w:rPr>
        <w:instrText xml:space="preserve"> SEQ Table \* ARABIC \* MERGEFORMAT </w:instrText>
      </w:r>
      <w:r w:rsidR="00B31549">
        <w:rPr>
          <w:b/>
          <w:color w:val="auto"/>
          <w:sz w:val="22"/>
          <w:szCs w:val="22"/>
        </w:rPr>
        <w:fldChar w:fldCharType="separate"/>
      </w:r>
      <w:r w:rsidR="005C7385">
        <w:rPr>
          <w:b/>
          <w:noProof/>
          <w:color w:val="auto"/>
          <w:sz w:val="22"/>
          <w:szCs w:val="22"/>
        </w:rPr>
        <w:t>4</w:t>
      </w:r>
      <w:r w:rsidR="00B31549">
        <w:rPr>
          <w:b/>
          <w:color w:val="auto"/>
          <w:sz w:val="22"/>
          <w:szCs w:val="22"/>
        </w:rPr>
        <w:fldChar w:fldCharType="end"/>
      </w:r>
      <w:r w:rsidRPr="7F3F34CE">
        <w:rPr>
          <w:b/>
          <w:color w:val="auto"/>
          <w:sz w:val="22"/>
          <w:szCs w:val="22"/>
        </w:rPr>
        <w:t xml:space="preserve">: Own funds: main features of own instruments issued by the </w:t>
      </w:r>
      <w:proofErr w:type="gramStart"/>
      <w:r w:rsidR="00CA61EA">
        <w:rPr>
          <w:b/>
          <w:color w:val="auto"/>
          <w:sz w:val="22"/>
          <w:szCs w:val="22"/>
        </w:rPr>
        <w:t>Group</w:t>
      </w:r>
      <w:proofErr w:type="gramEnd"/>
    </w:p>
    <w:tbl>
      <w:tblPr>
        <w:tblStyle w:val="TableGrid"/>
        <w:tblW w:w="0" w:type="auto"/>
        <w:tblLayout w:type="fixed"/>
        <w:tblLook w:val="04A0" w:firstRow="1" w:lastRow="0" w:firstColumn="1" w:lastColumn="0" w:noHBand="0" w:noVBand="1"/>
      </w:tblPr>
      <w:tblGrid>
        <w:gridCol w:w="9016"/>
      </w:tblGrid>
      <w:tr w:rsidR="003533DE" w:rsidRPr="00496FC6" w14:paraId="65ABF9C2" w14:textId="77777777" w:rsidTr="4885A249">
        <w:trPr>
          <w:trHeight w:val="359"/>
        </w:trPr>
        <w:tc>
          <w:tcPr>
            <w:tcW w:w="9016" w:type="dxa"/>
            <w:shd w:val="clear" w:color="auto" w:fill="C00000"/>
          </w:tcPr>
          <w:p w14:paraId="2A464AB0" w14:textId="27E9873D" w:rsidR="003533DE" w:rsidRPr="00496FC6" w:rsidRDefault="003533DE" w:rsidP="00DC1DCB">
            <w:pPr>
              <w:ind w:left="0"/>
              <w:rPr>
                <w:rFonts w:cstheme="minorHAnsi"/>
                <w:b/>
                <w:bCs/>
              </w:rPr>
            </w:pPr>
            <w:r w:rsidRPr="00496FC6">
              <w:rPr>
                <w:rFonts w:cstheme="minorHAnsi"/>
                <w:b/>
                <w:bCs/>
              </w:rPr>
              <w:t>Own funds: main features of own instruments issued by the firm</w:t>
            </w:r>
          </w:p>
        </w:tc>
      </w:tr>
      <w:tr w:rsidR="003533DE" w:rsidRPr="00496FC6" w14:paraId="46117CC2" w14:textId="77777777" w:rsidTr="4885A249">
        <w:trPr>
          <w:trHeight w:val="2280"/>
        </w:trPr>
        <w:tc>
          <w:tcPr>
            <w:tcW w:w="9016" w:type="dxa"/>
          </w:tcPr>
          <w:p w14:paraId="5ABC4CEA" w14:textId="3C6DEE6D" w:rsidR="00802B3B" w:rsidRPr="00D61DF7" w:rsidRDefault="45CA217B" w:rsidP="4885A249">
            <w:pPr>
              <w:ind w:left="0"/>
            </w:pPr>
            <w:r w:rsidRPr="4885A249">
              <w:t>C</w:t>
            </w:r>
            <w:r w:rsidR="5F1B982E" w:rsidRPr="4885A249">
              <w:t xml:space="preserve">apital instruments include </w:t>
            </w:r>
            <w:r w:rsidR="62D42325" w:rsidRPr="4885A249">
              <w:t>ordinary</w:t>
            </w:r>
            <w:r w:rsidR="5257DCE0" w:rsidRPr="4885A249">
              <w:t xml:space="preserve"> shares</w:t>
            </w:r>
            <w:r w:rsidR="03095F97" w:rsidRPr="4885A249">
              <w:t xml:space="preserve"> as </w:t>
            </w:r>
            <w:proofErr w:type="gramStart"/>
            <w:r w:rsidR="03095F97" w:rsidRPr="4885A249">
              <w:t>at</w:t>
            </w:r>
            <w:proofErr w:type="gramEnd"/>
            <w:r w:rsidR="03095F97" w:rsidRPr="4885A249">
              <w:t xml:space="preserve"> 31 December 202</w:t>
            </w:r>
            <w:r w:rsidR="00AE253B">
              <w:t>3</w:t>
            </w:r>
            <w:r w:rsidR="4A59B8E6" w:rsidRPr="4885A249">
              <w:t xml:space="preserve"> as shown below:</w:t>
            </w:r>
          </w:p>
          <w:tbl>
            <w:tblPr>
              <w:tblStyle w:val="TableGrid"/>
              <w:tblW w:w="0" w:type="auto"/>
              <w:tblLayout w:type="fixed"/>
              <w:tblLook w:val="04A0" w:firstRow="1" w:lastRow="0" w:firstColumn="1" w:lastColumn="0" w:noHBand="0" w:noVBand="1"/>
            </w:tblPr>
            <w:tblGrid>
              <w:gridCol w:w="1758"/>
              <w:gridCol w:w="1758"/>
              <w:gridCol w:w="1758"/>
              <w:gridCol w:w="1758"/>
              <w:gridCol w:w="1758"/>
            </w:tblGrid>
            <w:tr w:rsidR="008C419E" w:rsidRPr="00D61DF7" w14:paraId="2803E403" w14:textId="77777777" w:rsidTr="001507E0">
              <w:trPr>
                <w:trHeight w:val="283"/>
              </w:trPr>
              <w:tc>
                <w:tcPr>
                  <w:tcW w:w="1758" w:type="dxa"/>
                  <w:tcBorders>
                    <w:top w:val="single" w:sz="4" w:space="0" w:color="auto"/>
                    <w:left w:val="single" w:sz="4" w:space="0" w:color="auto"/>
                    <w:bottom w:val="single" w:sz="4" w:space="0" w:color="auto"/>
                    <w:right w:val="single" w:sz="4" w:space="0" w:color="auto"/>
                  </w:tcBorders>
                </w:tcPr>
                <w:p w14:paraId="44E48FF4" w14:textId="77777777" w:rsidR="008C419E" w:rsidRPr="009B2D4E" w:rsidRDefault="008C419E" w:rsidP="00865142">
                  <w:pPr>
                    <w:ind w:left="0"/>
                    <w:rPr>
                      <w:rFonts w:cstheme="minorHAnsi"/>
                      <w:b/>
                      <w:bCs/>
                    </w:rPr>
                  </w:pPr>
                </w:p>
              </w:tc>
              <w:tc>
                <w:tcPr>
                  <w:tcW w:w="7032" w:type="dxa"/>
                  <w:gridSpan w:val="4"/>
                  <w:tcBorders>
                    <w:top w:val="single" w:sz="4" w:space="0" w:color="auto"/>
                    <w:left w:val="single" w:sz="4" w:space="0" w:color="auto"/>
                    <w:bottom w:val="single" w:sz="4" w:space="0" w:color="auto"/>
                    <w:right w:val="single" w:sz="4" w:space="0" w:color="auto"/>
                  </w:tcBorders>
                </w:tcPr>
                <w:p w14:paraId="64C32C4F" w14:textId="673B0E74" w:rsidR="008C419E" w:rsidRPr="009B2D4E" w:rsidRDefault="008C419E" w:rsidP="00865142">
                  <w:pPr>
                    <w:ind w:left="0"/>
                    <w:rPr>
                      <w:rFonts w:cstheme="minorHAnsi"/>
                      <w:b/>
                      <w:bCs/>
                    </w:rPr>
                  </w:pPr>
                  <w:r w:rsidRPr="009B2D4E">
                    <w:rPr>
                      <w:rFonts w:cstheme="minorHAnsi"/>
                      <w:b/>
                      <w:bCs/>
                    </w:rPr>
                    <w:t xml:space="preserve">Allotted, </w:t>
                  </w:r>
                  <w:r w:rsidR="00367F16" w:rsidRPr="009B2D4E">
                    <w:rPr>
                      <w:rFonts w:cstheme="minorHAnsi"/>
                      <w:b/>
                      <w:bCs/>
                    </w:rPr>
                    <w:t xml:space="preserve">called up </w:t>
                  </w:r>
                  <w:r w:rsidRPr="009B2D4E">
                    <w:rPr>
                      <w:rFonts w:cstheme="minorHAnsi"/>
                      <w:b/>
                      <w:bCs/>
                    </w:rPr>
                    <w:t>and paid</w:t>
                  </w:r>
                </w:p>
              </w:tc>
            </w:tr>
            <w:tr w:rsidR="008C419E" w:rsidRPr="00D61DF7" w14:paraId="5B9434A7" w14:textId="77777777" w:rsidTr="001507E0">
              <w:tc>
                <w:tcPr>
                  <w:tcW w:w="1758" w:type="dxa"/>
                  <w:tcBorders>
                    <w:top w:val="single" w:sz="4" w:space="0" w:color="auto"/>
                    <w:left w:val="single" w:sz="4" w:space="0" w:color="auto"/>
                    <w:bottom w:val="single" w:sz="4" w:space="0" w:color="auto"/>
                    <w:right w:val="single" w:sz="4" w:space="0" w:color="auto"/>
                  </w:tcBorders>
                  <w:vAlign w:val="bottom"/>
                </w:tcPr>
                <w:p w14:paraId="384F031C" w14:textId="66AC844B" w:rsidR="008C419E" w:rsidRPr="009B2D4E" w:rsidRDefault="008C419E" w:rsidP="00865142">
                  <w:pPr>
                    <w:ind w:left="0"/>
                    <w:rPr>
                      <w:rFonts w:cstheme="minorHAnsi"/>
                      <w:b/>
                      <w:bCs/>
                    </w:rPr>
                  </w:pPr>
                  <w:r w:rsidRPr="009B2D4E">
                    <w:rPr>
                      <w:rFonts w:cstheme="minorHAnsi"/>
                      <w:b/>
                      <w:bCs/>
                    </w:rPr>
                    <w:t>Number:</w:t>
                  </w:r>
                </w:p>
              </w:tc>
              <w:tc>
                <w:tcPr>
                  <w:tcW w:w="1758" w:type="dxa"/>
                  <w:tcBorders>
                    <w:top w:val="single" w:sz="4" w:space="0" w:color="auto"/>
                    <w:left w:val="single" w:sz="4" w:space="0" w:color="auto"/>
                    <w:bottom w:val="single" w:sz="4" w:space="0" w:color="auto"/>
                    <w:right w:val="single" w:sz="4" w:space="0" w:color="auto"/>
                  </w:tcBorders>
                  <w:vAlign w:val="bottom"/>
                </w:tcPr>
                <w:p w14:paraId="4A370F9B" w14:textId="2D5E3532" w:rsidR="008C419E" w:rsidRPr="009B2D4E" w:rsidRDefault="008C419E" w:rsidP="00865142">
                  <w:pPr>
                    <w:ind w:left="0"/>
                    <w:rPr>
                      <w:rFonts w:cstheme="minorHAnsi"/>
                      <w:b/>
                      <w:bCs/>
                    </w:rPr>
                  </w:pPr>
                  <w:r w:rsidRPr="009B2D4E">
                    <w:rPr>
                      <w:rFonts w:cstheme="minorHAnsi"/>
                      <w:b/>
                      <w:bCs/>
                    </w:rPr>
                    <w:t>Class:</w:t>
                  </w:r>
                </w:p>
              </w:tc>
              <w:tc>
                <w:tcPr>
                  <w:tcW w:w="1758" w:type="dxa"/>
                  <w:tcBorders>
                    <w:top w:val="single" w:sz="4" w:space="0" w:color="auto"/>
                    <w:left w:val="single" w:sz="4" w:space="0" w:color="auto"/>
                    <w:bottom w:val="single" w:sz="4" w:space="0" w:color="auto"/>
                    <w:right w:val="single" w:sz="4" w:space="0" w:color="auto"/>
                  </w:tcBorders>
                  <w:vAlign w:val="bottom"/>
                </w:tcPr>
                <w:p w14:paraId="3D5E7D42" w14:textId="1E36772F" w:rsidR="008C419E" w:rsidRPr="009B2D4E" w:rsidRDefault="008C419E" w:rsidP="00865142">
                  <w:pPr>
                    <w:ind w:left="0"/>
                    <w:rPr>
                      <w:rFonts w:cstheme="minorHAnsi"/>
                      <w:b/>
                      <w:bCs/>
                    </w:rPr>
                  </w:pPr>
                  <w:r w:rsidRPr="009B2D4E">
                    <w:rPr>
                      <w:rFonts w:cstheme="minorHAnsi"/>
                      <w:b/>
                      <w:bCs/>
                    </w:rPr>
                    <w:t>Nominal value:</w:t>
                  </w:r>
                </w:p>
              </w:tc>
              <w:tc>
                <w:tcPr>
                  <w:tcW w:w="1758" w:type="dxa"/>
                  <w:tcBorders>
                    <w:top w:val="single" w:sz="4" w:space="0" w:color="auto"/>
                    <w:left w:val="single" w:sz="4" w:space="0" w:color="auto"/>
                    <w:bottom w:val="single" w:sz="4" w:space="0" w:color="auto"/>
                    <w:right w:val="single" w:sz="4" w:space="0" w:color="auto"/>
                  </w:tcBorders>
                </w:tcPr>
                <w:p w14:paraId="2BC21FC3" w14:textId="055F426B" w:rsidR="008C419E" w:rsidRPr="009B2D4E" w:rsidRDefault="00367F16" w:rsidP="00865142">
                  <w:pPr>
                    <w:ind w:left="0"/>
                    <w:rPr>
                      <w:rFonts w:cstheme="minorHAnsi"/>
                      <w:b/>
                      <w:bCs/>
                    </w:rPr>
                  </w:pPr>
                  <w:r w:rsidRPr="009B2D4E">
                    <w:rPr>
                      <w:rFonts w:cstheme="minorHAnsi"/>
                      <w:b/>
                      <w:bCs/>
                    </w:rPr>
                    <w:t xml:space="preserve">Paid: </w:t>
                  </w:r>
                </w:p>
              </w:tc>
              <w:tc>
                <w:tcPr>
                  <w:tcW w:w="1758" w:type="dxa"/>
                  <w:tcBorders>
                    <w:top w:val="single" w:sz="4" w:space="0" w:color="auto"/>
                    <w:left w:val="single" w:sz="4" w:space="0" w:color="auto"/>
                    <w:bottom w:val="single" w:sz="4" w:space="0" w:color="auto"/>
                    <w:right w:val="single" w:sz="4" w:space="0" w:color="auto"/>
                  </w:tcBorders>
                  <w:vAlign w:val="bottom"/>
                </w:tcPr>
                <w:p w14:paraId="6CF81F8C" w14:textId="5E7AE578" w:rsidR="008C419E" w:rsidRPr="009B2D4E" w:rsidRDefault="008C419E" w:rsidP="00865142">
                  <w:pPr>
                    <w:ind w:left="0"/>
                    <w:rPr>
                      <w:rFonts w:cstheme="minorHAnsi"/>
                      <w:b/>
                      <w:bCs/>
                    </w:rPr>
                  </w:pPr>
                  <w:r w:rsidRPr="009B2D4E">
                    <w:rPr>
                      <w:rFonts w:cstheme="minorHAnsi"/>
                      <w:b/>
                      <w:bCs/>
                    </w:rPr>
                    <w:t>£’000</w:t>
                  </w:r>
                </w:p>
              </w:tc>
            </w:tr>
            <w:tr w:rsidR="008C419E" w:rsidRPr="00D61DF7" w14:paraId="64664A9F" w14:textId="77777777" w:rsidTr="001507E0">
              <w:tc>
                <w:tcPr>
                  <w:tcW w:w="1758" w:type="dxa"/>
                  <w:tcBorders>
                    <w:top w:val="single" w:sz="4" w:space="0" w:color="auto"/>
                    <w:left w:val="single" w:sz="4" w:space="0" w:color="auto"/>
                    <w:bottom w:val="single" w:sz="4" w:space="0" w:color="auto"/>
                    <w:right w:val="single" w:sz="4" w:space="0" w:color="auto"/>
                  </w:tcBorders>
                  <w:vAlign w:val="bottom"/>
                </w:tcPr>
                <w:p w14:paraId="5FB4C1E2" w14:textId="334C698A" w:rsidR="008C419E" w:rsidRPr="00D61DF7" w:rsidRDefault="008C419E" w:rsidP="00865142">
                  <w:pPr>
                    <w:ind w:left="0"/>
                    <w:rPr>
                      <w:rFonts w:cstheme="minorHAnsi"/>
                    </w:rPr>
                  </w:pPr>
                  <w:r>
                    <w:t>9,025,000</w:t>
                  </w:r>
                </w:p>
              </w:tc>
              <w:tc>
                <w:tcPr>
                  <w:tcW w:w="1758" w:type="dxa"/>
                  <w:tcBorders>
                    <w:top w:val="single" w:sz="4" w:space="0" w:color="auto"/>
                    <w:left w:val="single" w:sz="4" w:space="0" w:color="auto"/>
                    <w:bottom w:val="single" w:sz="4" w:space="0" w:color="auto"/>
                    <w:right w:val="single" w:sz="4" w:space="0" w:color="auto"/>
                  </w:tcBorders>
                  <w:vAlign w:val="bottom"/>
                </w:tcPr>
                <w:p w14:paraId="347EE56D" w14:textId="16D19FCA" w:rsidR="008C419E" w:rsidRPr="00D61DF7" w:rsidRDefault="008C419E" w:rsidP="00865142">
                  <w:pPr>
                    <w:ind w:left="0"/>
                    <w:rPr>
                      <w:rFonts w:cstheme="minorHAnsi"/>
                    </w:rPr>
                  </w:pPr>
                  <w:r w:rsidRPr="00D61DF7">
                    <w:t>Ordinary</w:t>
                  </w:r>
                </w:p>
              </w:tc>
              <w:tc>
                <w:tcPr>
                  <w:tcW w:w="1758" w:type="dxa"/>
                  <w:tcBorders>
                    <w:top w:val="single" w:sz="4" w:space="0" w:color="auto"/>
                    <w:left w:val="single" w:sz="4" w:space="0" w:color="auto"/>
                    <w:bottom w:val="single" w:sz="4" w:space="0" w:color="auto"/>
                    <w:right w:val="single" w:sz="4" w:space="0" w:color="auto"/>
                  </w:tcBorders>
                  <w:vAlign w:val="bottom"/>
                </w:tcPr>
                <w:p w14:paraId="033456C6" w14:textId="5C0933E4" w:rsidR="008C419E" w:rsidRPr="00D61DF7" w:rsidRDefault="008C419E" w:rsidP="00865142">
                  <w:pPr>
                    <w:ind w:left="0"/>
                    <w:rPr>
                      <w:rFonts w:cstheme="minorHAnsi"/>
                    </w:rPr>
                  </w:pPr>
                  <w:r w:rsidRPr="00D61DF7">
                    <w:t>£1</w:t>
                  </w:r>
                </w:p>
              </w:tc>
              <w:tc>
                <w:tcPr>
                  <w:tcW w:w="1758" w:type="dxa"/>
                  <w:tcBorders>
                    <w:top w:val="single" w:sz="4" w:space="0" w:color="auto"/>
                    <w:left w:val="single" w:sz="4" w:space="0" w:color="auto"/>
                    <w:bottom w:val="single" w:sz="4" w:space="0" w:color="auto"/>
                    <w:right w:val="single" w:sz="4" w:space="0" w:color="auto"/>
                  </w:tcBorders>
                </w:tcPr>
                <w:p w14:paraId="180E930B" w14:textId="5D748D9C" w:rsidR="008C419E" w:rsidRPr="00D61DF7" w:rsidRDefault="00367F16" w:rsidP="00865142">
                  <w:pPr>
                    <w:ind w:left="0"/>
                  </w:pPr>
                  <w:r>
                    <w:t>Fully paid</w:t>
                  </w:r>
                </w:p>
              </w:tc>
              <w:tc>
                <w:tcPr>
                  <w:tcW w:w="1758" w:type="dxa"/>
                  <w:tcBorders>
                    <w:top w:val="single" w:sz="4" w:space="0" w:color="auto"/>
                    <w:left w:val="single" w:sz="4" w:space="0" w:color="auto"/>
                    <w:bottom w:val="single" w:sz="4" w:space="0" w:color="auto"/>
                    <w:right w:val="single" w:sz="4" w:space="0" w:color="auto"/>
                  </w:tcBorders>
                  <w:vAlign w:val="bottom"/>
                </w:tcPr>
                <w:p w14:paraId="09F1AB0C" w14:textId="25F8F9BA" w:rsidR="008C419E" w:rsidRPr="00D61DF7" w:rsidRDefault="002E6EC1" w:rsidP="00865142">
                  <w:pPr>
                    <w:ind w:left="0"/>
                    <w:rPr>
                      <w:rFonts w:cstheme="minorHAnsi"/>
                    </w:rPr>
                  </w:pPr>
                  <w:r>
                    <w:t>9,025,000</w:t>
                  </w:r>
                </w:p>
              </w:tc>
            </w:tr>
            <w:tr w:rsidR="008C419E" w:rsidRPr="00D61DF7" w14:paraId="2FB69597" w14:textId="77777777" w:rsidTr="001507E0">
              <w:tc>
                <w:tcPr>
                  <w:tcW w:w="1758" w:type="dxa"/>
                  <w:tcBorders>
                    <w:top w:val="single" w:sz="4" w:space="0" w:color="auto"/>
                    <w:left w:val="single" w:sz="4" w:space="0" w:color="auto"/>
                    <w:bottom w:val="single" w:sz="4" w:space="0" w:color="auto"/>
                    <w:right w:val="single" w:sz="4" w:space="0" w:color="auto"/>
                  </w:tcBorders>
                  <w:vAlign w:val="bottom"/>
                </w:tcPr>
                <w:p w14:paraId="352C9093" w14:textId="50650DB1" w:rsidR="008C419E" w:rsidRPr="00D61DF7" w:rsidRDefault="008C419E" w:rsidP="00865142">
                  <w:pPr>
                    <w:ind w:left="0"/>
                  </w:pPr>
                  <w:r>
                    <w:t>500,000</w:t>
                  </w:r>
                </w:p>
              </w:tc>
              <w:tc>
                <w:tcPr>
                  <w:tcW w:w="1758" w:type="dxa"/>
                  <w:tcBorders>
                    <w:top w:val="single" w:sz="4" w:space="0" w:color="auto"/>
                    <w:left w:val="single" w:sz="4" w:space="0" w:color="auto"/>
                    <w:bottom w:val="single" w:sz="4" w:space="0" w:color="auto"/>
                    <w:right w:val="single" w:sz="4" w:space="0" w:color="auto"/>
                  </w:tcBorders>
                  <w:vAlign w:val="bottom"/>
                </w:tcPr>
                <w:p w14:paraId="09B31AFE" w14:textId="0CE171E0" w:rsidR="008C419E" w:rsidRPr="00D61DF7" w:rsidRDefault="00367F16" w:rsidP="00865142">
                  <w:pPr>
                    <w:ind w:left="0"/>
                  </w:pPr>
                  <w:r>
                    <w:t>Ordinary</w:t>
                  </w:r>
                </w:p>
              </w:tc>
              <w:tc>
                <w:tcPr>
                  <w:tcW w:w="1758" w:type="dxa"/>
                  <w:tcBorders>
                    <w:top w:val="single" w:sz="4" w:space="0" w:color="auto"/>
                    <w:left w:val="single" w:sz="4" w:space="0" w:color="auto"/>
                    <w:bottom w:val="single" w:sz="4" w:space="0" w:color="auto"/>
                    <w:right w:val="single" w:sz="4" w:space="0" w:color="auto"/>
                  </w:tcBorders>
                  <w:vAlign w:val="bottom"/>
                </w:tcPr>
                <w:p w14:paraId="371F2F9B" w14:textId="33526316" w:rsidR="008C419E" w:rsidRPr="00D61DF7" w:rsidRDefault="00367F16" w:rsidP="00865142">
                  <w:pPr>
                    <w:ind w:left="0"/>
                  </w:pPr>
                  <w:r>
                    <w:t>£1</w:t>
                  </w:r>
                </w:p>
              </w:tc>
              <w:tc>
                <w:tcPr>
                  <w:tcW w:w="1758" w:type="dxa"/>
                  <w:tcBorders>
                    <w:top w:val="single" w:sz="4" w:space="0" w:color="auto"/>
                    <w:left w:val="single" w:sz="4" w:space="0" w:color="auto"/>
                    <w:bottom w:val="single" w:sz="4" w:space="0" w:color="auto"/>
                    <w:right w:val="single" w:sz="4" w:space="0" w:color="auto"/>
                  </w:tcBorders>
                </w:tcPr>
                <w:p w14:paraId="3AFF0DFD" w14:textId="648448B2" w:rsidR="008C419E" w:rsidRPr="00D61DF7" w:rsidRDefault="002E6EC1" w:rsidP="002E6EC1">
                  <w:pPr>
                    <w:ind w:left="0"/>
                    <w:jc w:val="left"/>
                  </w:pPr>
                  <w:r>
                    <w:t>25p called up and paid, there are no plans to call the remaining 75p</w:t>
                  </w:r>
                </w:p>
              </w:tc>
              <w:tc>
                <w:tcPr>
                  <w:tcW w:w="1758" w:type="dxa"/>
                  <w:tcBorders>
                    <w:top w:val="single" w:sz="4" w:space="0" w:color="auto"/>
                    <w:left w:val="single" w:sz="4" w:space="0" w:color="auto"/>
                    <w:bottom w:val="single" w:sz="4" w:space="0" w:color="auto"/>
                    <w:right w:val="single" w:sz="4" w:space="0" w:color="auto"/>
                  </w:tcBorders>
                  <w:vAlign w:val="bottom"/>
                </w:tcPr>
                <w:p w14:paraId="42722307" w14:textId="50FE50BF" w:rsidR="008C419E" w:rsidRPr="00D61DF7" w:rsidRDefault="002E6EC1" w:rsidP="00865142">
                  <w:pPr>
                    <w:ind w:left="0"/>
                  </w:pPr>
                  <w:r>
                    <w:t>125,000</w:t>
                  </w:r>
                </w:p>
              </w:tc>
            </w:tr>
            <w:tr w:rsidR="008C419E" w:rsidRPr="00D61DF7" w14:paraId="56672272" w14:textId="77777777" w:rsidTr="001507E0">
              <w:tc>
                <w:tcPr>
                  <w:tcW w:w="1758" w:type="dxa"/>
                  <w:tcBorders>
                    <w:top w:val="single" w:sz="4" w:space="0" w:color="auto"/>
                    <w:left w:val="single" w:sz="4" w:space="0" w:color="auto"/>
                    <w:bottom w:val="single" w:sz="4" w:space="0" w:color="auto"/>
                    <w:right w:val="single" w:sz="4" w:space="0" w:color="auto"/>
                  </w:tcBorders>
                  <w:vAlign w:val="bottom"/>
                </w:tcPr>
                <w:p w14:paraId="47C80C0A" w14:textId="77777777" w:rsidR="008C419E" w:rsidRDefault="008C419E" w:rsidP="00865142">
                  <w:pPr>
                    <w:ind w:left="0"/>
                  </w:pPr>
                </w:p>
              </w:tc>
              <w:tc>
                <w:tcPr>
                  <w:tcW w:w="1758" w:type="dxa"/>
                  <w:tcBorders>
                    <w:top w:val="single" w:sz="4" w:space="0" w:color="auto"/>
                    <w:left w:val="single" w:sz="4" w:space="0" w:color="auto"/>
                    <w:bottom w:val="single" w:sz="4" w:space="0" w:color="auto"/>
                    <w:right w:val="single" w:sz="4" w:space="0" w:color="auto"/>
                  </w:tcBorders>
                  <w:vAlign w:val="bottom"/>
                </w:tcPr>
                <w:p w14:paraId="6082C295" w14:textId="77777777" w:rsidR="008C419E" w:rsidRPr="00D61DF7" w:rsidRDefault="008C419E" w:rsidP="00865142">
                  <w:pPr>
                    <w:ind w:left="0"/>
                  </w:pPr>
                </w:p>
              </w:tc>
              <w:tc>
                <w:tcPr>
                  <w:tcW w:w="1758" w:type="dxa"/>
                  <w:tcBorders>
                    <w:top w:val="single" w:sz="4" w:space="0" w:color="auto"/>
                    <w:left w:val="single" w:sz="4" w:space="0" w:color="auto"/>
                    <w:bottom w:val="single" w:sz="4" w:space="0" w:color="auto"/>
                    <w:right w:val="single" w:sz="4" w:space="0" w:color="auto"/>
                  </w:tcBorders>
                  <w:vAlign w:val="bottom"/>
                </w:tcPr>
                <w:p w14:paraId="136FBE00" w14:textId="77777777" w:rsidR="008C419E" w:rsidRPr="00D61DF7" w:rsidRDefault="008C419E" w:rsidP="00865142">
                  <w:pPr>
                    <w:ind w:left="0"/>
                  </w:pPr>
                </w:p>
              </w:tc>
              <w:tc>
                <w:tcPr>
                  <w:tcW w:w="1758" w:type="dxa"/>
                  <w:tcBorders>
                    <w:top w:val="single" w:sz="4" w:space="0" w:color="auto"/>
                    <w:left w:val="single" w:sz="4" w:space="0" w:color="auto"/>
                    <w:bottom w:val="single" w:sz="4" w:space="0" w:color="auto"/>
                    <w:right w:val="single" w:sz="4" w:space="0" w:color="auto"/>
                  </w:tcBorders>
                </w:tcPr>
                <w:p w14:paraId="34E471DC" w14:textId="38556EC9" w:rsidR="008C419E" w:rsidRPr="002E6EC1" w:rsidRDefault="002E6EC1" w:rsidP="00865142">
                  <w:pPr>
                    <w:ind w:left="0"/>
                    <w:rPr>
                      <w:b/>
                      <w:bCs/>
                      <w:i/>
                      <w:iCs/>
                    </w:rPr>
                  </w:pPr>
                  <w:r w:rsidRPr="002E6EC1">
                    <w:rPr>
                      <w:b/>
                      <w:bCs/>
                      <w:i/>
                      <w:iCs/>
                    </w:rPr>
                    <w:t>Total</w:t>
                  </w:r>
                </w:p>
              </w:tc>
              <w:tc>
                <w:tcPr>
                  <w:tcW w:w="1758" w:type="dxa"/>
                  <w:tcBorders>
                    <w:top w:val="single" w:sz="4" w:space="0" w:color="auto"/>
                    <w:left w:val="single" w:sz="4" w:space="0" w:color="auto"/>
                    <w:bottom w:val="single" w:sz="4" w:space="0" w:color="auto"/>
                    <w:right w:val="single" w:sz="4" w:space="0" w:color="auto"/>
                  </w:tcBorders>
                  <w:vAlign w:val="bottom"/>
                </w:tcPr>
                <w:p w14:paraId="40D8C0BE" w14:textId="2A8EB8A3" w:rsidR="008C419E" w:rsidRPr="002E6EC1" w:rsidRDefault="002E6EC1" w:rsidP="00865142">
                  <w:pPr>
                    <w:ind w:left="0"/>
                    <w:rPr>
                      <w:b/>
                      <w:bCs/>
                      <w:i/>
                      <w:iCs/>
                    </w:rPr>
                  </w:pPr>
                  <w:r w:rsidRPr="002E6EC1">
                    <w:rPr>
                      <w:b/>
                      <w:bCs/>
                      <w:i/>
                      <w:iCs/>
                    </w:rPr>
                    <w:t>9,150,000</w:t>
                  </w:r>
                </w:p>
              </w:tc>
            </w:tr>
          </w:tbl>
          <w:p w14:paraId="11996DAF" w14:textId="3E6BE18A" w:rsidR="003533DE" w:rsidRPr="007E24B3" w:rsidRDefault="00865142" w:rsidP="00DC1DCB">
            <w:pPr>
              <w:ind w:left="0"/>
              <w:rPr>
                <w:rFonts w:cstheme="minorHAnsi"/>
                <w:highlight w:val="cyan"/>
              </w:rPr>
            </w:pPr>
            <w:r w:rsidRPr="00D61DF7">
              <w:rPr>
                <w:rFonts w:cstheme="minorHAnsi"/>
              </w:rPr>
              <w:t>The ordinary shares constitute equity interests.</w:t>
            </w:r>
            <w:r w:rsidR="00AA1875" w:rsidRPr="00D61DF7">
              <w:rPr>
                <w:rFonts w:cstheme="minorHAnsi"/>
              </w:rPr>
              <w:t xml:space="preserve"> </w:t>
            </w:r>
          </w:p>
        </w:tc>
      </w:tr>
    </w:tbl>
    <w:p w14:paraId="664B558E" w14:textId="77777777" w:rsidR="00D429CA" w:rsidRPr="00496FC6" w:rsidRDefault="00D429CA" w:rsidP="00DC1DCB">
      <w:pPr>
        <w:ind w:left="0"/>
        <w:rPr>
          <w:rFonts w:cstheme="minorHAnsi"/>
        </w:rPr>
      </w:pPr>
    </w:p>
    <w:p w14:paraId="23472968" w14:textId="2E678746" w:rsidR="00DC1DCB" w:rsidRPr="00496FC6" w:rsidRDefault="00AC4A16">
      <w:pPr>
        <w:pStyle w:val="Heading2"/>
        <w:numPr>
          <w:ilvl w:val="1"/>
          <w:numId w:val="2"/>
        </w:numPr>
        <w:rPr>
          <w:rFonts w:asciiTheme="minorHAnsi" w:hAnsiTheme="minorHAnsi" w:cstheme="minorBidi"/>
        </w:rPr>
      </w:pPr>
      <w:bookmarkStart w:id="51" w:name="_Toc524377222"/>
      <w:bookmarkStart w:id="52" w:name="_Toc139016577"/>
      <w:r w:rsidRPr="3498C462">
        <w:rPr>
          <w:rFonts w:asciiTheme="minorHAnsi" w:hAnsiTheme="minorHAnsi" w:cstheme="minorBidi"/>
        </w:rPr>
        <w:t>Balance Sheet Reconciliation</w:t>
      </w:r>
      <w:bookmarkEnd w:id="51"/>
      <w:bookmarkEnd w:id="52"/>
    </w:p>
    <w:p w14:paraId="7AEE4E7C" w14:textId="75223D97" w:rsidR="001B6821" w:rsidRPr="00496FC6" w:rsidRDefault="00AC4A16" w:rsidP="00AC4A16">
      <w:pPr>
        <w:ind w:left="0"/>
      </w:pPr>
      <w:r>
        <w:br/>
      </w:r>
      <w:r w:rsidR="00D43714">
        <w:t xml:space="preserve">The following table reconciles the </w:t>
      </w:r>
      <w:r w:rsidR="005B6F42">
        <w:t>Group</w:t>
      </w:r>
      <w:r w:rsidRPr="093E2C2C">
        <w:t>’s assets and liabilities</w:t>
      </w:r>
      <w:r w:rsidR="006F33EB">
        <w:t xml:space="preserve"> as </w:t>
      </w:r>
      <w:proofErr w:type="gramStart"/>
      <w:r w:rsidR="006F33EB">
        <w:t>at</w:t>
      </w:r>
      <w:proofErr w:type="gramEnd"/>
      <w:r w:rsidR="006F33EB">
        <w:t xml:space="preserve"> </w:t>
      </w:r>
      <w:r w:rsidR="009E5F42">
        <w:t>31</w:t>
      </w:r>
      <w:r w:rsidR="009E5F42" w:rsidRPr="004B4FB2">
        <w:rPr>
          <w:vertAlign w:val="superscript"/>
        </w:rPr>
        <w:t>st</w:t>
      </w:r>
      <w:r w:rsidR="009E5F42">
        <w:t xml:space="preserve"> December 202</w:t>
      </w:r>
      <w:r w:rsidR="00AE253B">
        <w:t>3</w:t>
      </w:r>
      <w:r w:rsidRPr="093E2C2C">
        <w:t xml:space="preserve"> </w:t>
      </w:r>
      <w:r w:rsidR="210D5A33">
        <w:t>to</w:t>
      </w:r>
      <w:r w:rsidRPr="093E2C2C">
        <w:t xml:space="preserve"> </w:t>
      </w:r>
      <w:r w:rsidR="00A40BEE">
        <w:t xml:space="preserve">the </w:t>
      </w:r>
      <w:r w:rsidR="005B6F42">
        <w:t>Group</w:t>
      </w:r>
      <w:r w:rsidR="00441A08">
        <w:t xml:space="preserve">’s </w:t>
      </w:r>
      <w:r w:rsidRPr="093E2C2C">
        <w:t xml:space="preserve">regulatory </w:t>
      </w:r>
      <w:r w:rsidR="7472C4FC">
        <w:t>o</w:t>
      </w:r>
      <w:r w:rsidR="074253B3">
        <w:t xml:space="preserve">wn </w:t>
      </w:r>
      <w:r w:rsidR="7277DF0D">
        <w:t>f</w:t>
      </w:r>
      <w:r w:rsidR="08996C74">
        <w:t>unds</w:t>
      </w:r>
      <w:r w:rsidRPr="093E2C2C">
        <w:t>:</w:t>
      </w:r>
    </w:p>
    <w:p w14:paraId="4A559AE6" w14:textId="698D61B7" w:rsidR="00AC4A16" w:rsidRPr="00496FC6" w:rsidRDefault="00AC4A16" w:rsidP="00085D17">
      <w:pPr>
        <w:pStyle w:val="Caption"/>
        <w:keepNext/>
        <w:spacing w:after="0"/>
        <w:rPr>
          <w:b/>
          <w:color w:val="auto"/>
          <w:sz w:val="22"/>
          <w:szCs w:val="22"/>
        </w:rPr>
      </w:pPr>
      <w:r w:rsidRPr="7F3F34CE">
        <w:rPr>
          <w:b/>
          <w:color w:val="auto"/>
          <w:sz w:val="22"/>
          <w:szCs w:val="22"/>
        </w:rPr>
        <w:t xml:space="preserve">Table </w:t>
      </w:r>
      <w:r w:rsidR="00B31549">
        <w:rPr>
          <w:b/>
          <w:color w:val="auto"/>
          <w:sz w:val="22"/>
          <w:szCs w:val="22"/>
        </w:rPr>
        <w:fldChar w:fldCharType="begin"/>
      </w:r>
      <w:r w:rsidR="00B31549">
        <w:rPr>
          <w:b/>
          <w:color w:val="auto"/>
          <w:sz w:val="22"/>
          <w:szCs w:val="22"/>
        </w:rPr>
        <w:instrText xml:space="preserve"> SEQ Table \* ARABIC \* MERGEFORMAT </w:instrText>
      </w:r>
      <w:r w:rsidR="00B31549">
        <w:rPr>
          <w:b/>
          <w:color w:val="auto"/>
          <w:sz w:val="22"/>
          <w:szCs w:val="22"/>
        </w:rPr>
        <w:fldChar w:fldCharType="separate"/>
      </w:r>
      <w:r w:rsidR="005C7385">
        <w:rPr>
          <w:b/>
          <w:noProof/>
          <w:color w:val="auto"/>
          <w:sz w:val="22"/>
          <w:szCs w:val="22"/>
        </w:rPr>
        <w:t>5</w:t>
      </w:r>
      <w:r w:rsidR="00B31549">
        <w:rPr>
          <w:b/>
          <w:color w:val="auto"/>
          <w:sz w:val="22"/>
          <w:szCs w:val="22"/>
        </w:rPr>
        <w:fldChar w:fldCharType="end"/>
      </w:r>
      <w:r w:rsidR="08996C74" w:rsidRPr="7F3F34CE">
        <w:rPr>
          <w:b/>
          <w:bCs/>
          <w:color w:val="auto"/>
          <w:sz w:val="22"/>
          <w:szCs w:val="22"/>
        </w:rPr>
        <w:t>:</w:t>
      </w:r>
      <w:r w:rsidRPr="7F3F34CE">
        <w:rPr>
          <w:b/>
          <w:color w:val="auto"/>
          <w:sz w:val="22"/>
          <w:szCs w:val="22"/>
        </w:rPr>
        <w:t xml:space="preserve"> Own funds: reconciliation of regulatory own funds to balance sheet in the audited financial</w:t>
      </w:r>
      <w:r w:rsidR="00B3370B" w:rsidRPr="7F3F34CE">
        <w:rPr>
          <w:b/>
          <w:color w:val="auto"/>
          <w:sz w:val="22"/>
          <w:szCs w:val="22"/>
        </w:rPr>
        <w:t xml:space="preserve"> </w:t>
      </w:r>
      <w:proofErr w:type="gramStart"/>
      <w:r w:rsidR="00B3370B" w:rsidRPr="7F3F34CE">
        <w:rPr>
          <w:b/>
          <w:color w:val="auto"/>
          <w:sz w:val="22"/>
          <w:szCs w:val="22"/>
        </w:rPr>
        <w:t>statements</w:t>
      </w:r>
      <w:proofErr w:type="gramEnd"/>
    </w:p>
    <w:tbl>
      <w:tblPr>
        <w:tblStyle w:val="TableGrid"/>
        <w:tblW w:w="0" w:type="auto"/>
        <w:tblLook w:val="04A0" w:firstRow="1" w:lastRow="0" w:firstColumn="1" w:lastColumn="0" w:noHBand="0" w:noVBand="1"/>
      </w:tblPr>
      <w:tblGrid>
        <w:gridCol w:w="704"/>
        <w:gridCol w:w="2902"/>
        <w:gridCol w:w="1803"/>
        <w:gridCol w:w="1803"/>
        <w:gridCol w:w="1804"/>
      </w:tblGrid>
      <w:tr w:rsidR="00AC4A16" w:rsidRPr="00496FC6" w14:paraId="5C10F3DA" w14:textId="77777777" w:rsidTr="006E58D7">
        <w:tc>
          <w:tcPr>
            <w:tcW w:w="3606" w:type="dxa"/>
            <w:gridSpan w:val="2"/>
            <w:shd w:val="clear" w:color="auto" w:fill="C00000"/>
          </w:tcPr>
          <w:p w14:paraId="0ACD31D1" w14:textId="77777777" w:rsidR="00AC4A16" w:rsidRPr="00496FC6" w:rsidRDefault="00AC4A16" w:rsidP="00AC4A16">
            <w:pPr>
              <w:spacing w:after="0"/>
              <w:ind w:left="0"/>
              <w:rPr>
                <w:rFonts w:cstheme="minorHAnsi"/>
                <w:b/>
                <w:bCs/>
              </w:rPr>
            </w:pPr>
          </w:p>
        </w:tc>
        <w:tc>
          <w:tcPr>
            <w:tcW w:w="1803" w:type="dxa"/>
            <w:shd w:val="clear" w:color="auto" w:fill="C00000"/>
          </w:tcPr>
          <w:p w14:paraId="6DA446EC" w14:textId="49D4638E" w:rsidR="00B848D9" w:rsidRDefault="00AC4A16" w:rsidP="00B848D9">
            <w:pPr>
              <w:spacing w:after="0"/>
              <w:ind w:left="0"/>
              <w:jc w:val="left"/>
              <w:rPr>
                <w:b/>
              </w:rPr>
            </w:pPr>
            <w:r w:rsidRPr="7F3F34CE">
              <w:rPr>
                <w:b/>
              </w:rPr>
              <w:t xml:space="preserve">Balance sheet </w:t>
            </w:r>
            <w:r w:rsidR="00B3370B" w:rsidRPr="7F3F34CE">
              <w:rPr>
                <w:b/>
              </w:rPr>
              <w:t>per</w:t>
            </w:r>
            <w:r w:rsidRPr="7F3F34CE">
              <w:rPr>
                <w:b/>
              </w:rPr>
              <w:t xml:space="preserve"> audited financial statements</w:t>
            </w:r>
            <w:r w:rsidR="00336CBD" w:rsidRPr="7F3F34CE">
              <w:rPr>
                <w:b/>
              </w:rPr>
              <w:t xml:space="preserve"> </w:t>
            </w:r>
          </w:p>
          <w:p w14:paraId="7CFCDFE3" w14:textId="088190FF" w:rsidR="00AC4A16" w:rsidRPr="00496FC6" w:rsidRDefault="00336CBD" w:rsidP="00CD5AAF">
            <w:pPr>
              <w:spacing w:after="0"/>
              <w:ind w:left="0"/>
              <w:jc w:val="left"/>
              <w:rPr>
                <w:rFonts w:cstheme="minorHAnsi"/>
                <w:b/>
                <w:bCs/>
              </w:rPr>
            </w:pPr>
            <w:r>
              <w:rPr>
                <w:rFonts w:cstheme="minorHAnsi"/>
                <w:b/>
                <w:bCs/>
              </w:rPr>
              <w:t>£’000</w:t>
            </w:r>
          </w:p>
        </w:tc>
        <w:tc>
          <w:tcPr>
            <w:tcW w:w="1803" w:type="dxa"/>
            <w:shd w:val="clear" w:color="auto" w:fill="C00000"/>
          </w:tcPr>
          <w:p w14:paraId="0C25F3D1" w14:textId="1E67D8D9" w:rsidR="00AC4A16" w:rsidRPr="00496FC6" w:rsidRDefault="00AC4A16" w:rsidP="00CD5AAF">
            <w:pPr>
              <w:spacing w:after="0"/>
              <w:ind w:left="0"/>
              <w:jc w:val="left"/>
              <w:rPr>
                <w:rFonts w:cstheme="minorHAnsi"/>
                <w:b/>
                <w:bCs/>
              </w:rPr>
            </w:pPr>
            <w:r w:rsidRPr="00496FC6">
              <w:rPr>
                <w:rFonts w:cstheme="minorHAnsi"/>
                <w:b/>
                <w:bCs/>
              </w:rPr>
              <w:t>Under regulatory scope of consolidation</w:t>
            </w:r>
          </w:p>
        </w:tc>
        <w:tc>
          <w:tcPr>
            <w:tcW w:w="1804" w:type="dxa"/>
            <w:shd w:val="clear" w:color="auto" w:fill="C00000"/>
          </w:tcPr>
          <w:p w14:paraId="27073F37" w14:textId="41251A9F" w:rsidR="00AC4A16" w:rsidRPr="00496FC6" w:rsidRDefault="00AC4A16" w:rsidP="00CD5AAF">
            <w:pPr>
              <w:spacing w:after="0"/>
              <w:ind w:left="0"/>
              <w:jc w:val="left"/>
              <w:rPr>
                <w:b/>
              </w:rPr>
            </w:pPr>
            <w:r w:rsidRPr="20C76054">
              <w:rPr>
                <w:b/>
              </w:rPr>
              <w:t xml:space="preserve">Cross reference to </w:t>
            </w:r>
            <w:r w:rsidR="009D21C1" w:rsidRPr="20C76054">
              <w:rPr>
                <w:b/>
              </w:rPr>
              <w:t>T</w:t>
            </w:r>
            <w:r w:rsidR="00B54241" w:rsidRPr="20C76054">
              <w:rPr>
                <w:b/>
              </w:rPr>
              <w:t xml:space="preserve">able </w:t>
            </w:r>
            <w:r w:rsidR="704C6D48" w:rsidRPr="7F3F34CE">
              <w:rPr>
                <w:b/>
                <w:bCs/>
              </w:rPr>
              <w:t>3</w:t>
            </w:r>
          </w:p>
        </w:tc>
      </w:tr>
      <w:tr w:rsidR="00AC4A16" w:rsidRPr="00496FC6" w14:paraId="65D65863" w14:textId="77777777" w:rsidTr="002D3DC2">
        <w:tc>
          <w:tcPr>
            <w:tcW w:w="9016" w:type="dxa"/>
            <w:gridSpan w:val="5"/>
            <w:shd w:val="clear" w:color="auto" w:fill="FED4CE"/>
          </w:tcPr>
          <w:p w14:paraId="10DC131F" w14:textId="475E5D25" w:rsidR="00AC4A16" w:rsidRPr="00496FC6" w:rsidRDefault="00AC4A16" w:rsidP="00AC4A16">
            <w:pPr>
              <w:spacing w:after="0"/>
              <w:ind w:left="0"/>
              <w:rPr>
                <w:b/>
              </w:rPr>
            </w:pPr>
            <w:r w:rsidRPr="7F3F34CE">
              <w:rPr>
                <w:b/>
              </w:rPr>
              <w:t xml:space="preserve">Assets - Breakdown by asset classes </w:t>
            </w:r>
            <w:r w:rsidR="045B40AC" w:rsidRPr="7F3F34CE">
              <w:rPr>
                <w:b/>
                <w:bCs/>
              </w:rPr>
              <w:t>per</w:t>
            </w:r>
            <w:r w:rsidRPr="7F3F34CE">
              <w:rPr>
                <w:b/>
              </w:rPr>
              <w:t xml:space="preserve"> the balance sheet in the audited financial statements</w:t>
            </w:r>
          </w:p>
        </w:tc>
      </w:tr>
      <w:tr w:rsidR="00AC4A16" w:rsidRPr="00496FC6" w14:paraId="0D43CED2" w14:textId="77777777" w:rsidTr="00AC4A16">
        <w:tc>
          <w:tcPr>
            <w:tcW w:w="704" w:type="dxa"/>
          </w:tcPr>
          <w:p w14:paraId="6B09BCC8" w14:textId="41999FF1" w:rsidR="00AC4A16" w:rsidRPr="00496FC6" w:rsidRDefault="00AC4A16" w:rsidP="00AC4A16">
            <w:pPr>
              <w:spacing w:after="0"/>
              <w:ind w:left="0"/>
              <w:rPr>
                <w:rFonts w:cstheme="minorHAnsi"/>
              </w:rPr>
            </w:pPr>
            <w:r w:rsidRPr="00496FC6">
              <w:rPr>
                <w:rFonts w:cstheme="minorHAnsi"/>
              </w:rPr>
              <w:t>1.</w:t>
            </w:r>
          </w:p>
        </w:tc>
        <w:tc>
          <w:tcPr>
            <w:tcW w:w="2902" w:type="dxa"/>
          </w:tcPr>
          <w:p w14:paraId="6F9C374B" w14:textId="70250D37" w:rsidR="00AC4A16" w:rsidRPr="00496FC6" w:rsidRDefault="00C0183B" w:rsidP="00AC4A16">
            <w:pPr>
              <w:spacing w:after="0"/>
              <w:ind w:left="0"/>
              <w:rPr>
                <w:rFonts w:cstheme="minorHAnsi"/>
              </w:rPr>
            </w:pPr>
            <w:r>
              <w:rPr>
                <w:rFonts w:cstheme="minorHAnsi"/>
              </w:rPr>
              <w:t>Tangible assets</w:t>
            </w:r>
          </w:p>
        </w:tc>
        <w:tc>
          <w:tcPr>
            <w:tcW w:w="1803" w:type="dxa"/>
          </w:tcPr>
          <w:p w14:paraId="57023527" w14:textId="65623F4D" w:rsidR="00AC4A16" w:rsidRPr="00496FC6" w:rsidRDefault="00895B9A" w:rsidP="00286179">
            <w:pPr>
              <w:spacing w:after="0"/>
              <w:ind w:left="0"/>
              <w:jc w:val="center"/>
              <w:rPr>
                <w:rFonts w:cstheme="minorHAnsi"/>
              </w:rPr>
            </w:pPr>
            <w:r>
              <w:rPr>
                <w:rFonts w:cstheme="minorHAnsi"/>
              </w:rPr>
              <w:t>1,</w:t>
            </w:r>
            <w:r w:rsidR="008B2924">
              <w:rPr>
                <w:rFonts w:cstheme="minorHAnsi"/>
              </w:rPr>
              <w:t>826</w:t>
            </w:r>
          </w:p>
        </w:tc>
        <w:tc>
          <w:tcPr>
            <w:tcW w:w="1803" w:type="dxa"/>
          </w:tcPr>
          <w:p w14:paraId="0ABDEB38" w14:textId="5D2D5D0D" w:rsidR="00AC4A16" w:rsidRPr="00496FC6" w:rsidRDefault="00046EDE" w:rsidP="00CD5AAF">
            <w:pPr>
              <w:spacing w:after="0"/>
              <w:ind w:left="0"/>
              <w:jc w:val="center"/>
              <w:rPr>
                <w:rFonts w:cstheme="minorHAnsi"/>
              </w:rPr>
            </w:pPr>
            <w:r>
              <w:rPr>
                <w:rFonts w:cstheme="minorHAnsi"/>
              </w:rPr>
              <w:t>-</w:t>
            </w:r>
          </w:p>
        </w:tc>
        <w:tc>
          <w:tcPr>
            <w:tcW w:w="1804" w:type="dxa"/>
          </w:tcPr>
          <w:p w14:paraId="32F572D9" w14:textId="77777777" w:rsidR="00AC4A16" w:rsidRPr="00496FC6" w:rsidRDefault="00AC4A16" w:rsidP="00AC4A16">
            <w:pPr>
              <w:spacing w:after="0"/>
              <w:ind w:left="0"/>
              <w:rPr>
                <w:rFonts w:cstheme="minorHAnsi"/>
              </w:rPr>
            </w:pPr>
          </w:p>
        </w:tc>
      </w:tr>
      <w:tr w:rsidR="00AC4A16" w:rsidRPr="00496FC6" w14:paraId="4BCB3DE9" w14:textId="77777777" w:rsidTr="00AC4A16">
        <w:tc>
          <w:tcPr>
            <w:tcW w:w="704" w:type="dxa"/>
          </w:tcPr>
          <w:p w14:paraId="7D61F58C" w14:textId="4F4B0C15" w:rsidR="00AC4A16" w:rsidRPr="00496FC6" w:rsidRDefault="00AC4A16" w:rsidP="00AC4A16">
            <w:pPr>
              <w:spacing w:after="0"/>
              <w:ind w:left="0"/>
              <w:rPr>
                <w:rFonts w:cstheme="minorHAnsi"/>
              </w:rPr>
            </w:pPr>
            <w:r w:rsidRPr="00496FC6">
              <w:rPr>
                <w:rFonts w:cstheme="minorHAnsi"/>
              </w:rPr>
              <w:t>2.</w:t>
            </w:r>
          </w:p>
        </w:tc>
        <w:tc>
          <w:tcPr>
            <w:tcW w:w="2902" w:type="dxa"/>
          </w:tcPr>
          <w:p w14:paraId="321602F5" w14:textId="4EA88542" w:rsidR="00AC4A16" w:rsidRPr="00496FC6" w:rsidRDefault="00C0183B" w:rsidP="00AC4A16">
            <w:pPr>
              <w:spacing w:after="0"/>
              <w:ind w:left="0"/>
              <w:rPr>
                <w:rFonts w:cstheme="minorHAnsi"/>
              </w:rPr>
            </w:pPr>
            <w:r>
              <w:rPr>
                <w:rFonts w:cstheme="minorHAnsi"/>
              </w:rPr>
              <w:t>Investments</w:t>
            </w:r>
          </w:p>
        </w:tc>
        <w:tc>
          <w:tcPr>
            <w:tcW w:w="1803" w:type="dxa"/>
          </w:tcPr>
          <w:p w14:paraId="117C37AA" w14:textId="1C944671" w:rsidR="00AC4A16" w:rsidRPr="00496FC6" w:rsidRDefault="00874E18" w:rsidP="00286179">
            <w:pPr>
              <w:spacing w:after="0"/>
              <w:ind w:left="0"/>
              <w:jc w:val="center"/>
              <w:rPr>
                <w:rFonts w:cstheme="minorHAnsi"/>
              </w:rPr>
            </w:pPr>
            <w:r>
              <w:rPr>
                <w:rFonts w:cstheme="minorHAnsi"/>
              </w:rPr>
              <w:t>2</w:t>
            </w:r>
            <w:r w:rsidR="008B2924">
              <w:rPr>
                <w:rFonts w:cstheme="minorHAnsi"/>
              </w:rPr>
              <w:t>7,480</w:t>
            </w:r>
          </w:p>
        </w:tc>
        <w:tc>
          <w:tcPr>
            <w:tcW w:w="1803" w:type="dxa"/>
          </w:tcPr>
          <w:p w14:paraId="6570333F" w14:textId="2334184F" w:rsidR="00AC4A16" w:rsidRPr="00496FC6" w:rsidRDefault="00046EDE" w:rsidP="00CD5AAF">
            <w:pPr>
              <w:spacing w:after="0"/>
              <w:ind w:left="0"/>
              <w:jc w:val="center"/>
              <w:rPr>
                <w:rFonts w:cstheme="minorHAnsi"/>
              </w:rPr>
            </w:pPr>
            <w:r>
              <w:rPr>
                <w:rFonts w:cstheme="minorHAnsi"/>
              </w:rPr>
              <w:t>-</w:t>
            </w:r>
          </w:p>
        </w:tc>
        <w:tc>
          <w:tcPr>
            <w:tcW w:w="1804" w:type="dxa"/>
          </w:tcPr>
          <w:p w14:paraId="1C6AE476" w14:textId="67F8E994" w:rsidR="00AC4A16" w:rsidRPr="00496FC6" w:rsidRDefault="00AC4A16" w:rsidP="00AC4A16">
            <w:pPr>
              <w:spacing w:after="0"/>
              <w:ind w:left="0"/>
              <w:rPr>
                <w:rFonts w:cstheme="minorHAnsi"/>
              </w:rPr>
            </w:pPr>
          </w:p>
        </w:tc>
      </w:tr>
      <w:tr w:rsidR="00AC4A16" w:rsidRPr="00496FC6" w14:paraId="19BAA671" w14:textId="77777777" w:rsidTr="00AC4A16">
        <w:tc>
          <w:tcPr>
            <w:tcW w:w="704" w:type="dxa"/>
          </w:tcPr>
          <w:p w14:paraId="4F12F294" w14:textId="70203EC7" w:rsidR="00AC4A16" w:rsidRPr="00496FC6" w:rsidRDefault="00AC4A16" w:rsidP="00AC4A16">
            <w:pPr>
              <w:spacing w:after="0"/>
              <w:ind w:left="0"/>
              <w:rPr>
                <w:rFonts w:cstheme="minorHAnsi"/>
              </w:rPr>
            </w:pPr>
            <w:r w:rsidRPr="00496FC6">
              <w:rPr>
                <w:rFonts w:cstheme="minorHAnsi"/>
              </w:rPr>
              <w:t>3.</w:t>
            </w:r>
          </w:p>
        </w:tc>
        <w:tc>
          <w:tcPr>
            <w:tcW w:w="2902" w:type="dxa"/>
          </w:tcPr>
          <w:p w14:paraId="24F0F6ED" w14:textId="423DD809" w:rsidR="00AC4A16" w:rsidRPr="00496FC6" w:rsidRDefault="0028306D" w:rsidP="00AC4A16">
            <w:pPr>
              <w:spacing w:after="0"/>
              <w:ind w:left="0"/>
              <w:rPr>
                <w:rFonts w:cstheme="minorHAnsi"/>
              </w:rPr>
            </w:pPr>
            <w:r>
              <w:rPr>
                <w:rFonts w:cstheme="minorHAnsi"/>
              </w:rPr>
              <w:t>Debtors</w:t>
            </w:r>
          </w:p>
        </w:tc>
        <w:tc>
          <w:tcPr>
            <w:tcW w:w="1803" w:type="dxa"/>
          </w:tcPr>
          <w:p w14:paraId="4B3DAFCC" w14:textId="38ED7BBD" w:rsidR="00AC4A16" w:rsidRPr="00496FC6" w:rsidRDefault="008B2924" w:rsidP="00286179">
            <w:pPr>
              <w:spacing w:after="0"/>
              <w:ind w:left="0"/>
              <w:jc w:val="center"/>
              <w:rPr>
                <w:rFonts w:cstheme="minorHAnsi"/>
              </w:rPr>
            </w:pPr>
            <w:r>
              <w:rPr>
                <w:rFonts w:cstheme="minorHAnsi"/>
              </w:rPr>
              <w:t>30,480</w:t>
            </w:r>
          </w:p>
        </w:tc>
        <w:tc>
          <w:tcPr>
            <w:tcW w:w="1803" w:type="dxa"/>
          </w:tcPr>
          <w:p w14:paraId="188E0CD0" w14:textId="2363F92E" w:rsidR="00AC4A16" w:rsidRPr="00496FC6" w:rsidRDefault="00046EDE" w:rsidP="00CD5AAF">
            <w:pPr>
              <w:spacing w:after="0"/>
              <w:ind w:left="0"/>
              <w:jc w:val="center"/>
              <w:rPr>
                <w:rFonts w:cstheme="minorHAnsi"/>
              </w:rPr>
            </w:pPr>
            <w:r>
              <w:rPr>
                <w:rFonts w:cstheme="minorHAnsi"/>
              </w:rPr>
              <w:t>-</w:t>
            </w:r>
          </w:p>
        </w:tc>
        <w:tc>
          <w:tcPr>
            <w:tcW w:w="1804" w:type="dxa"/>
          </w:tcPr>
          <w:p w14:paraId="1C8E4A07" w14:textId="77777777" w:rsidR="00AC4A16" w:rsidRPr="00496FC6" w:rsidRDefault="00AC4A16" w:rsidP="00AC4A16">
            <w:pPr>
              <w:spacing w:after="0"/>
              <w:ind w:left="0"/>
              <w:rPr>
                <w:rFonts w:cstheme="minorHAnsi"/>
              </w:rPr>
            </w:pPr>
          </w:p>
        </w:tc>
      </w:tr>
      <w:tr w:rsidR="008B2924" w:rsidRPr="00496FC6" w14:paraId="3533E349" w14:textId="77777777" w:rsidTr="00AC4A16">
        <w:tc>
          <w:tcPr>
            <w:tcW w:w="704" w:type="dxa"/>
          </w:tcPr>
          <w:p w14:paraId="4B2B47D1" w14:textId="6899DFED" w:rsidR="008B2924" w:rsidRPr="00496FC6" w:rsidRDefault="008B2924" w:rsidP="00AC4A16">
            <w:pPr>
              <w:spacing w:after="0"/>
              <w:ind w:left="0"/>
              <w:rPr>
                <w:rFonts w:cstheme="minorHAnsi"/>
              </w:rPr>
            </w:pPr>
            <w:r>
              <w:rPr>
                <w:rFonts w:cstheme="minorHAnsi"/>
              </w:rPr>
              <w:t>4.</w:t>
            </w:r>
          </w:p>
        </w:tc>
        <w:tc>
          <w:tcPr>
            <w:tcW w:w="2902" w:type="dxa"/>
          </w:tcPr>
          <w:p w14:paraId="566F0D3E" w14:textId="1AE4F4AF" w:rsidR="008B2924" w:rsidRDefault="008B2924" w:rsidP="00AC4A16">
            <w:pPr>
              <w:spacing w:after="0"/>
              <w:ind w:left="0"/>
              <w:rPr>
                <w:rFonts w:cstheme="minorHAnsi"/>
              </w:rPr>
            </w:pPr>
            <w:r>
              <w:rPr>
                <w:rFonts w:cstheme="minorHAnsi"/>
              </w:rPr>
              <w:t>Cash at bank</w:t>
            </w:r>
          </w:p>
        </w:tc>
        <w:tc>
          <w:tcPr>
            <w:tcW w:w="1803" w:type="dxa"/>
          </w:tcPr>
          <w:p w14:paraId="7D5BE813" w14:textId="6C5B7822" w:rsidR="008B2924" w:rsidRDefault="008B2924" w:rsidP="00286179">
            <w:pPr>
              <w:spacing w:after="0"/>
              <w:ind w:left="0"/>
              <w:jc w:val="center"/>
              <w:rPr>
                <w:rFonts w:cstheme="minorHAnsi"/>
              </w:rPr>
            </w:pPr>
            <w:r>
              <w:rPr>
                <w:rFonts w:cstheme="minorHAnsi"/>
              </w:rPr>
              <w:t>45,096</w:t>
            </w:r>
          </w:p>
        </w:tc>
        <w:tc>
          <w:tcPr>
            <w:tcW w:w="1803" w:type="dxa"/>
          </w:tcPr>
          <w:p w14:paraId="49E317F7" w14:textId="77777777" w:rsidR="008B2924" w:rsidRDefault="008B2924" w:rsidP="00CD5AAF">
            <w:pPr>
              <w:spacing w:after="0"/>
              <w:ind w:left="0"/>
              <w:jc w:val="center"/>
              <w:rPr>
                <w:rFonts w:cstheme="minorHAnsi"/>
              </w:rPr>
            </w:pPr>
          </w:p>
        </w:tc>
        <w:tc>
          <w:tcPr>
            <w:tcW w:w="1804" w:type="dxa"/>
          </w:tcPr>
          <w:p w14:paraId="281B2A56" w14:textId="77777777" w:rsidR="008B2924" w:rsidRPr="00496FC6" w:rsidRDefault="008B2924" w:rsidP="00AC4A16">
            <w:pPr>
              <w:spacing w:after="0"/>
              <w:ind w:left="0"/>
              <w:rPr>
                <w:rFonts w:cstheme="minorHAnsi"/>
              </w:rPr>
            </w:pPr>
          </w:p>
        </w:tc>
      </w:tr>
      <w:tr w:rsidR="00AC4A16" w:rsidRPr="00496FC6" w14:paraId="462C9DB8" w14:textId="77777777" w:rsidTr="00AC4A16">
        <w:tc>
          <w:tcPr>
            <w:tcW w:w="704" w:type="dxa"/>
          </w:tcPr>
          <w:p w14:paraId="011BA389" w14:textId="754D8318" w:rsidR="00AC4A16" w:rsidRPr="00496FC6" w:rsidRDefault="008B2924" w:rsidP="00AC4A16">
            <w:pPr>
              <w:spacing w:after="0"/>
              <w:ind w:left="0"/>
              <w:rPr>
                <w:rFonts w:cstheme="minorHAnsi"/>
              </w:rPr>
            </w:pPr>
            <w:r>
              <w:rPr>
                <w:rFonts w:cstheme="minorHAnsi"/>
              </w:rPr>
              <w:t>5</w:t>
            </w:r>
            <w:r w:rsidR="00AC4A16" w:rsidRPr="00496FC6">
              <w:rPr>
                <w:rFonts w:cstheme="minorHAnsi"/>
              </w:rPr>
              <w:t>.</w:t>
            </w:r>
          </w:p>
        </w:tc>
        <w:tc>
          <w:tcPr>
            <w:tcW w:w="2902" w:type="dxa"/>
          </w:tcPr>
          <w:p w14:paraId="1C5D668F" w14:textId="205F9C94" w:rsidR="00AC4A16" w:rsidRPr="00496FC6" w:rsidRDefault="008B2924" w:rsidP="00AC4A16">
            <w:pPr>
              <w:spacing w:after="0"/>
              <w:ind w:left="0"/>
              <w:rPr>
                <w:rFonts w:cstheme="minorHAnsi"/>
              </w:rPr>
            </w:pPr>
            <w:r>
              <w:rPr>
                <w:rFonts w:cstheme="minorHAnsi"/>
              </w:rPr>
              <w:t>Pension asset</w:t>
            </w:r>
            <w:r w:rsidR="0028306D">
              <w:rPr>
                <w:rFonts w:cstheme="minorHAnsi"/>
              </w:rPr>
              <w:t xml:space="preserve"> </w:t>
            </w:r>
          </w:p>
        </w:tc>
        <w:tc>
          <w:tcPr>
            <w:tcW w:w="1803" w:type="dxa"/>
          </w:tcPr>
          <w:p w14:paraId="463440BC" w14:textId="5CCA8747" w:rsidR="00AC4A16" w:rsidRPr="00496FC6" w:rsidRDefault="008B2924" w:rsidP="00286179">
            <w:pPr>
              <w:spacing w:after="0"/>
              <w:ind w:left="0"/>
              <w:jc w:val="center"/>
              <w:rPr>
                <w:rFonts w:cstheme="minorHAnsi"/>
              </w:rPr>
            </w:pPr>
            <w:r>
              <w:rPr>
                <w:rFonts w:cstheme="minorHAnsi"/>
              </w:rPr>
              <w:t>1,214</w:t>
            </w:r>
          </w:p>
        </w:tc>
        <w:tc>
          <w:tcPr>
            <w:tcW w:w="1803" w:type="dxa"/>
          </w:tcPr>
          <w:p w14:paraId="5DA447E5" w14:textId="3C328AC6" w:rsidR="00AC4A16" w:rsidRPr="00496FC6" w:rsidRDefault="00046EDE" w:rsidP="00CD5AAF">
            <w:pPr>
              <w:spacing w:after="0"/>
              <w:ind w:left="0"/>
              <w:jc w:val="center"/>
              <w:rPr>
                <w:rFonts w:cstheme="minorHAnsi"/>
              </w:rPr>
            </w:pPr>
            <w:r>
              <w:rPr>
                <w:rFonts w:cstheme="minorHAnsi"/>
              </w:rPr>
              <w:t>-</w:t>
            </w:r>
          </w:p>
        </w:tc>
        <w:tc>
          <w:tcPr>
            <w:tcW w:w="1804" w:type="dxa"/>
          </w:tcPr>
          <w:p w14:paraId="02670B64" w14:textId="77777777" w:rsidR="00AC4A16" w:rsidRPr="00496FC6" w:rsidRDefault="00AC4A16" w:rsidP="00AC4A16">
            <w:pPr>
              <w:spacing w:after="0"/>
              <w:ind w:left="0"/>
              <w:rPr>
                <w:rFonts w:cstheme="minorHAnsi"/>
              </w:rPr>
            </w:pPr>
          </w:p>
        </w:tc>
      </w:tr>
      <w:tr w:rsidR="00D05581" w:rsidRPr="00496FC6" w14:paraId="458CF422" w14:textId="77777777" w:rsidTr="006E58D7">
        <w:tc>
          <w:tcPr>
            <w:tcW w:w="3606" w:type="dxa"/>
            <w:gridSpan w:val="2"/>
          </w:tcPr>
          <w:p w14:paraId="114777C8" w14:textId="0AA2CB0D" w:rsidR="00D05581" w:rsidRPr="00496FC6" w:rsidRDefault="00D05581" w:rsidP="00AC4A16">
            <w:pPr>
              <w:spacing w:after="0"/>
              <w:ind w:left="0"/>
              <w:rPr>
                <w:rFonts w:cstheme="minorHAnsi"/>
                <w:b/>
                <w:bCs/>
              </w:rPr>
            </w:pPr>
            <w:r w:rsidRPr="00496FC6">
              <w:rPr>
                <w:rFonts w:cstheme="minorHAnsi"/>
                <w:b/>
                <w:bCs/>
              </w:rPr>
              <w:t>Total Assets</w:t>
            </w:r>
          </w:p>
        </w:tc>
        <w:tc>
          <w:tcPr>
            <w:tcW w:w="1803" w:type="dxa"/>
          </w:tcPr>
          <w:p w14:paraId="7DCAFAAF" w14:textId="3F7DD9A6" w:rsidR="00D05581" w:rsidRPr="00496FC6" w:rsidRDefault="008B2924" w:rsidP="00286179">
            <w:pPr>
              <w:spacing w:after="0"/>
              <w:ind w:left="0"/>
              <w:jc w:val="center"/>
              <w:rPr>
                <w:rFonts w:cstheme="minorHAnsi"/>
                <w:b/>
                <w:bCs/>
              </w:rPr>
            </w:pPr>
            <w:r>
              <w:rPr>
                <w:rFonts w:cstheme="minorHAnsi"/>
                <w:b/>
                <w:bCs/>
              </w:rPr>
              <w:t>106,096</w:t>
            </w:r>
          </w:p>
        </w:tc>
        <w:tc>
          <w:tcPr>
            <w:tcW w:w="1803" w:type="dxa"/>
          </w:tcPr>
          <w:p w14:paraId="6F001344" w14:textId="2AE0CD69" w:rsidR="00D05581" w:rsidRPr="00496FC6" w:rsidRDefault="00046EDE" w:rsidP="00CD5AAF">
            <w:pPr>
              <w:spacing w:after="0"/>
              <w:ind w:left="0"/>
              <w:jc w:val="center"/>
              <w:rPr>
                <w:rFonts w:cstheme="minorHAnsi"/>
                <w:b/>
                <w:bCs/>
              </w:rPr>
            </w:pPr>
            <w:r>
              <w:rPr>
                <w:rFonts w:cstheme="minorHAnsi"/>
                <w:b/>
                <w:bCs/>
              </w:rPr>
              <w:t>-</w:t>
            </w:r>
          </w:p>
        </w:tc>
        <w:tc>
          <w:tcPr>
            <w:tcW w:w="1804" w:type="dxa"/>
          </w:tcPr>
          <w:p w14:paraId="70F0161B" w14:textId="77777777" w:rsidR="00D05581" w:rsidRPr="00496FC6" w:rsidRDefault="00D05581" w:rsidP="00AC4A16">
            <w:pPr>
              <w:spacing w:after="0"/>
              <w:ind w:left="0"/>
              <w:rPr>
                <w:rFonts w:cstheme="minorHAnsi"/>
                <w:b/>
                <w:bCs/>
              </w:rPr>
            </w:pPr>
          </w:p>
        </w:tc>
      </w:tr>
      <w:tr w:rsidR="00AC4A16" w:rsidRPr="00496FC6" w14:paraId="591233EC" w14:textId="77777777" w:rsidTr="002D3DC2">
        <w:tc>
          <w:tcPr>
            <w:tcW w:w="9016" w:type="dxa"/>
            <w:gridSpan w:val="5"/>
            <w:shd w:val="clear" w:color="auto" w:fill="FED4CE"/>
          </w:tcPr>
          <w:p w14:paraId="52170B1D" w14:textId="12DE0A1D" w:rsidR="00AC4A16" w:rsidRPr="00496FC6" w:rsidRDefault="00AC4A16" w:rsidP="00AC4A16">
            <w:pPr>
              <w:spacing w:after="0"/>
              <w:ind w:left="0"/>
              <w:rPr>
                <w:b/>
              </w:rPr>
            </w:pPr>
            <w:r w:rsidRPr="7F3F34CE">
              <w:rPr>
                <w:b/>
              </w:rPr>
              <w:t xml:space="preserve">Liabilities - Breakdown by liability classes </w:t>
            </w:r>
            <w:r w:rsidR="045B40AC" w:rsidRPr="7F3F34CE">
              <w:rPr>
                <w:b/>
                <w:bCs/>
              </w:rPr>
              <w:t>per</w:t>
            </w:r>
            <w:r w:rsidRPr="7F3F34CE">
              <w:rPr>
                <w:b/>
              </w:rPr>
              <w:t xml:space="preserve"> the balance sheet in the audited financial statements</w:t>
            </w:r>
          </w:p>
        </w:tc>
      </w:tr>
      <w:tr w:rsidR="00AC4A16" w:rsidRPr="00496FC6" w14:paraId="265C3FBF" w14:textId="77777777" w:rsidTr="00AC4A16">
        <w:tc>
          <w:tcPr>
            <w:tcW w:w="704" w:type="dxa"/>
          </w:tcPr>
          <w:p w14:paraId="2A5EBD27" w14:textId="38119686" w:rsidR="00AC4A16" w:rsidRPr="00496FC6" w:rsidRDefault="008B2924" w:rsidP="00AC4A16">
            <w:pPr>
              <w:spacing w:after="0"/>
              <w:ind w:left="0"/>
              <w:rPr>
                <w:rFonts w:cstheme="minorHAnsi"/>
              </w:rPr>
            </w:pPr>
            <w:r>
              <w:rPr>
                <w:rFonts w:cstheme="minorHAnsi"/>
              </w:rPr>
              <w:t>6</w:t>
            </w:r>
            <w:r w:rsidR="00AC4A16" w:rsidRPr="00496FC6">
              <w:rPr>
                <w:rFonts w:cstheme="minorHAnsi"/>
              </w:rPr>
              <w:t>.</w:t>
            </w:r>
          </w:p>
        </w:tc>
        <w:tc>
          <w:tcPr>
            <w:tcW w:w="2902" w:type="dxa"/>
          </w:tcPr>
          <w:p w14:paraId="0F8B4189" w14:textId="1C369231" w:rsidR="00AC4A16" w:rsidRPr="00496FC6" w:rsidRDefault="0028306D" w:rsidP="00AC4A16">
            <w:pPr>
              <w:spacing w:after="0"/>
              <w:ind w:left="0"/>
              <w:rPr>
                <w:rFonts w:cstheme="minorHAnsi"/>
              </w:rPr>
            </w:pPr>
            <w:r>
              <w:rPr>
                <w:rFonts w:cstheme="minorHAnsi"/>
              </w:rPr>
              <w:t>Creditors: amounts falling due within one year</w:t>
            </w:r>
          </w:p>
        </w:tc>
        <w:tc>
          <w:tcPr>
            <w:tcW w:w="1803" w:type="dxa"/>
          </w:tcPr>
          <w:p w14:paraId="6C5DD95E" w14:textId="2C2DECE3" w:rsidR="00AC4A16" w:rsidRPr="00496FC6" w:rsidRDefault="008B2924" w:rsidP="00286179">
            <w:pPr>
              <w:spacing w:after="0"/>
              <w:ind w:left="0"/>
              <w:jc w:val="center"/>
              <w:rPr>
                <w:rFonts w:cstheme="minorHAnsi"/>
              </w:rPr>
            </w:pPr>
            <w:r>
              <w:rPr>
                <w:rFonts w:cstheme="minorHAnsi"/>
              </w:rPr>
              <w:t>73,084</w:t>
            </w:r>
          </w:p>
        </w:tc>
        <w:tc>
          <w:tcPr>
            <w:tcW w:w="1803" w:type="dxa"/>
          </w:tcPr>
          <w:p w14:paraId="6768D89E" w14:textId="6560A0E3" w:rsidR="00AC4A16" w:rsidRPr="00496FC6" w:rsidRDefault="00046EDE" w:rsidP="00CD5AAF">
            <w:pPr>
              <w:spacing w:after="0"/>
              <w:ind w:left="0"/>
              <w:jc w:val="center"/>
              <w:rPr>
                <w:rFonts w:cstheme="minorHAnsi"/>
              </w:rPr>
            </w:pPr>
            <w:r>
              <w:rPr>
                <w:rFonts w:cstheme="minorHAnsi"/>
              </w:rPr>
              <w:t>-</w:t>
            </w:r>
          </w:p>
        </w:tc>
        <w:tc>
          <w:tcPr>
            <w:tcW w:w="1804" w:type="dxa"/>
          </w:tcPr>
          <w:p w14:paraId="3C4B0DC6" w14:textId="77777777" w:rsidR="00AC4A16" w:rsidRPr="00496FC6" w:rsidRDefault="00AC4A16" w:rsidP="00AC4A16">
            <w:pPr>
              <w:spacing w:after="0"/>
              <w:ind w:left="0"/>
              <w:rPr>
                <w:rFonts w:cstheme="minorHAnsi"/>
              </w:rPr>
            </w:pPr>
          </w:p>
        </w:tc>
      </w:tr>
      <w:tr w:rsidR="00D05581" w:rsidRPr="00496FC6" w14:paraId="205E20D9" w14:textId="77777777" w:rsidTr="006E58D7">
        <w:tc>
          <w:tcPr>
            <w:tcW w:w="3606" w:type="dxa"/>
            <w:gridSpan w:val="2"/>
          </w:tcPr>
          <w:p w14:paraId="7D0CEA21" w14:textId="704CA57A" w:rsidR="00D05581" w:rsidRPr="00496FC6" w:rsidRDefault="00D05581" w:rsidP="00AC4A16">
            <w:pPr>
              <w:spacing w:after="0"/>
              <w:ind w:left="0"/>
              <w:rPr>
                <w:rFonts w:cstheme="minorHAnsi"/>
                <w:b/>
                <w:bCs/>
              </w:rPr>
            </w:pPr>
            <w:r w:rsidRPr="00496FC6">
              <w:rPr>
                <w:rFonts w:cstheme="minorHAnsi"/>
                <w:b/>
                <w:bCs/>
              </w:rPr>
              <w:t>Total Liabilities</w:t>
            </w:r>
          </w:p>
        </w:tc>
        <w:tc>
          <w:tcPr>
            <w:tcW w:w="1803" w:type="dxa"/>
          </w:tcPr>
          <w:p w14:paraId="737EE1E8" w14:textId="3AF404C7" w:rsidR="00D05581" w:rsidRPr="00496FC6" w:rsidRDefault="008B2924" w:rsidP="00286179">
            <w:pPr>
              <w:spacing w:after="0"/>
              <w:ind w:left="0"/>
              <w:jc w:val="center"/>
              <w:rPr>
                <w:rFonts w:cstheme="minorHAnsi"/>
                <w:b/>
                <w:bCs/>
              </w:rPr>
            </w:pPr>
            <w:r>
              <w:rPr>
                <w:rFonts w:cstheme="minorHAnsi"/>
                <w:b/>
                <w:bCs/>
              </w:rPr>
              <w:t>73,084</w:t>
            </w:r>
          </w:p>
        </w:tc>
        <w:tc>
          <w:tcPr>
            <w:tcW w:w="1803" w:type="dxa"/>
          </w:tcPr>
          <w:p w14:paraId="65AD6D1A" w14:textId="52750621" w:rsidR="00D05581" w:rsidRPr="00496FC6" w:rsidRDefault="00046EDE" w:rsidP="00CD5AAF">
            <w:pPr>
              <w:spacing w:after="0"/>
              <w:ind w:left="0"/>
              <w:jc w:val="center"/>
              <w:rPr>
                <w:rFonts w:cstheme="minorHAnsi"/>
                <w:b/>
                <w:bCs/>
              </w:rPr>
            </w:pPr>
            <w:r>
              <w:rPr>
                <w:rFonts w:cstheme="minorHAnsi"/>
                <w:b/>
                <w:bCs/>
              </w:rPr>
              <w:t>-</w:t>
            </w:r>
          </w:p>
        </w:tc>
        <w:tc>
          <w:tcPr>
            <w:tcW w:w="1804" w:type="dxa"/>
          </w:tcPr>
          <w:p w14:paraId="493F66F8" w14:textId="77777777" w:rsidR="00D05581" w:rsidRPr="00496FC6" w:rsidRDefault="00D05581" w:rsidP="00AC4A16">
            <w:pPr>
              <w:spacing w:after="0"/>
              <w:ind w:left="0"/>
              <w:rPr>
                <w:rFonts w:cstheme="minorHAnsi"/>
                <w:b/>
                <w:bCs/>
              </w:rPr>
            </w:pPr>
          </w:p>
        </w:tc>
      </w:tr>
      <w:tr w:rsidR="00AC4A16" w:rsidRPr="00496FC6" w14:paraId="5C020C48" w14:textId="77777777" w:rsidTr="002D3DC2">
        <w:tc>
          <w:tcPr>
            <w:tcW w:w="9016" w:type="dxa"/>
            <w:gridSpan w:val="5"/>
            <w:shd w:val="clear" w:color="auto" w:fill="FED4CE"/>
          </w:tcPr>
          <w:p w14:paraId="533965C5" w14:textId="1A9D4E81" w:rsidR="00AC4A16" w:rsidRPr="00496FC6" w:rsidRDefault="00AC4A16" w:rsidP="00AC4A16">
            <w:pPr>
              <w:spacing w:after="0"/>
              <w:ind w:left="0"/>
              <w:rPr>
                <w:rFonts w:cstheme="minorHAnsi"/>
                <w:b/>
                <w:bCs/>
              </w:rPr>
            </w:pPr>
            <w:r w:rsidRPr="00496FC6">
              <w:rPr>
                <w:rFonts w:cstheme="minorHAnsi"/>
                <w:b/>
                <w:bCs/>
              </w:rPr>
              <w:t>Shareholders' Equity</w:t>
            </w:r>
          </w:p>
        </w:tc>
      </w:tr>
      <w:tr w:rsidR="00AC4A16" w:rsidRPr="00496FC6" w14:paraId="40BC6FC7" w14:textId="77777777" w:rsidTr="00AC4A16">
        <w:tc>
          <w:tcPr>
            <w:tcW w:w="704" w:type="dxa"/>
          </w:tcPr>
          <w:p w14:paraId="5A98C54F" w14:textId="4459E31A" w:rsidR="00AC4A16" w:rsidRPr="00192A09" w:rsidRDefault="008B2924" w:rsidP="00AC4A16">
            <w:pPr>
              <w:spacing w:after="0"/>
              <w:ind w:left="0"/>
              <w:rPr>
                <w:rFonts w:cstheme="minorHAnsi"/>
              </w:rPr>
            </w:pPr>
            <w:r>
              <w:rPr>
                <w:rFonts w:cstheme="minorHAnsi"/>
              </w:rPr>
              <w:t>7</w:t>
            </w:r>
            <w:r w:rsidR="00AC4A16" w:rsidRPr="00192A09">
              <w:rPr>
                <w:rFonts w:cstheme="minorHAnsi"/>
              </w:rPr>
              <w:t>.</w:t>
            </w:r>
          </w:p>
        </w:tc>
        <w:tc>
          <w:tcPr>
            <w:tcW w:w="2902" w:type="dxa"/>
          </w:tcPr>
          <w:p w14:paraId="31D65552" w14:textId="500F7393" w:rsidR="00AC4A16" w:rsidRPr="00496FC6" w:rsidRDefault="00232E17" w:rsidP="00AC4A16">
            <w:pPr>
              <w:spacing w:after="0"/>
              <w:ind w:left="0"/>
              <w:rPr>
                <w:rFonts w:cstheme="minorHAnsi"/>
              </w:rPr>
            </w:pPr>
            <w:r>
              <w:rPr>
                <w:rFonts w:cstheme="minorHAnsi"/>
              </w:rPr>
              <w:t>Called up share capital</w:t>
            </w:r>
          </w:p>
        </w:tc>
        <w:tc>
          <w:tcPr>
            <w:tcW w:w="1803" w:type="dxa"/>
          </w:tcPr>
          <w:p w14:paraId="0693FAAB" w14:textId="00C25529" w:rsidR="00AC4A16" w:rsidRPr="00496FC6" w:rsidRDefault="00D929FD" w:rsidP="00286179">
            <w:pPr>
              <w:spacing w:after="0"/>
              <w:ind w:left="0"/>
              <w:jc w:val="center"/>
              <w:rPr>
                <w:rFonts w:cstheme="minorHAnsi"/>
              </w:rPr>
            </w:pPr>
            <w:r>
              <w:rPr>
                <w:rFonts w:cstheme="minorHAnsi"/>
              </w:rPr>
              <w:t>9,150</w:t>
            </w:r>
          </w:p>
        </w:tc>
        <w:tc>
          <w:tcPr>
            <w:tcW w:w="1803" w:type="dxa"/>
          </w:tcPr>
          <w:p w14:paraId="7604175C" w14:textId="6A8CE233" w:rsidR="00AC4A16" w:rsidRPr="00496FC6" w:rsidRDefault="00046EDE" w:rsidP="00CD5AAF">
            <w:pPr>
              <w:spacing w:after="0"/>
              <w:ind w:left="0"/>
              <w:jc w:val="center"/>
              <w:rPr>
                <w:rFonts w:cstheme="minorHAnsi"/>
              </w:rPr>
            </w:pPr>
            <w:r>
              <w:rPr>
                <w:rFonts w:cstheme="minorHAnsi"/>
              </w:rPr>
              <w:t>-</w:t>
            </w:r>
          </w:p>
        </w:tc>
        <w:tc>
          <w:tcPr>
            <w:tcW w:w="1804" w:type="dxa"/>
          </w:tcPr>
          <w:p w14:paraId="160108D4" w14:textId="0BD3DC97" w:rsidR="00AC4A16" w:rsidRPr="00496FC6" w:rsidRDefault="00EF5669" w:rsidP="00AC4A16">
            <w:pPr>
              <w:spacing w:after="0"/>
              <w:ind w:left="0"/>
              <w:rPr>
                <w:rFonts w:cstheme="minorHAnsi"/>
              </w:rPr>
            </w:pPr>
            <w:r>
              <w:rPr>
                <w:rFonts w:cstheme="minorHAnsi"/>
              </w:rPr>
              <w:t>Box 4</w:t>
            </w:r>
          </w:p>
        </w:tc>
      </w:tr>
      <w:tr w:rsidR="00AC4A16" w:rsidRPr="00496FC6" w14:paraId="4E333B78" w14:textId="77777777" w:rsidTr="00AC4A16">
        <w:tc>
          <w:tcPr>
            <w:tcW w:w="704" w:type="dxa"/>
          </w:tcPr>
          <w:p w14:paraId="35C1DDFF" w14:textId="5019070C" w:rsidR="00AC4A16" w:rsidRPr="00496FC6" w:rsidRDefault="008B2924" w:rsidP="00AC4A16">
            <w:pPr>
              <w:spacing w:after="0"/>
              <w:ind w:left="0"/>
              <w:rPr>
                <w:rFonts w:cstheme="minorHAnsi"/>
              </w:rPr>
            </w:pPr>
            <w:r>
              <w:rPr>
                <w:rFonts w:cstheme="minorHAnsi"/>
              </w:rPr>
              <w:t>8</w:t>
            </w:r>
            <w:r w:rsidR="00AC4A16" w:rsidRPr="00496FC6">
              <w:rPr>
                <w:rFonts w:cstheme="minorHAnsi"/>
              </w:rPr>
              <w:t>.</w:t>
            </w:r>
          </w:p>
        </w:tc>
        <w:tc>
          <w:tcPr>
            <w:tcW w:w="2902" w:type="dxa"/>
          </w:tcPr>
          <w:p w14:paraId="696E4638" w14:textId="272CBC41" w:rsidR="00AC4A16" w:rsidRPr="00496FC6" w:rsidRDefault="00232E17" w:rsidP="00AC4A16">
            <w:pPr>
              <w:spacing w:after="0"/>
              <w:ind w:left="0"/>
              <w:rPr>
                <w:rFonts w:cstheme="minorHAnsi"/>
              </w:rPr>
            </w:pPr>
            <w:r>
              <w:rPr>
                <w:rFonts w:cstheme="minorHAnsi"/>
              </w:rPr>
              <w:t>Retained earnings</w:t>
            </w:r>
          </w:p>
        </w:tc>
        <w:tc>
          <w:tcPr>
            <w:tcW w:w="1803" w:type="dxa"/>
          </w:tcPr>
          <w:p w14:paraId="4688B03B" w14:textId="1B51AD60" w:rsidR="00AC4A16" w:rsidRPr="00496FC6" w:rsidRDefault="008B2924" w:rsidP="00286179">
            <w:pPr>
              <w:spacing w:after="0"/>
              <w:ind w:left="0"/>
              <w:jc w:val="center"/>
              <w:rPr>
                <w:rFonts w:cstheme="minorHAnsi"/>
              </w:rPr>
            </w:pPr>
            <w:r>
              <w:rPr>
                <w:rFonts w:cstheme="minorHAnsi"/>
              </w:rPr>
              <w:t>23,862</w:t>
            </w:r>
          </w:p>
        </w:tc>
        <w:tc>
          <w:tcPr>
            <w:tcW w:w="1803" w:type="dxa"/>
          </w:tcPr>
          <w:p w14:paraId="04DD91C4" w14:textId="6AE36E9D" w:rsidR="00AC4A16" w:rsidRPr="00496FC6" w:rsidRDefault="00046EDE" w:rsidP="00CD5AAF">
            <w:pPr>
              <w:spacing w:after="0"/>
              <w:ind w:left="0"/>
              <w:jc w:val="center"/>
              <w:rPr>
                <w:rFonts w:cstheme="minorHAnsi"/>
              </w:rPr>
            </w:pPr>
            <w:r>
              <w:rPr>
                <w:rFonts w:cstheme="minorHAnsi"/>
              </w:rPr>
              <w:t>-</w:t>
            </w:r>
          </w:p>
        </w:tc>
        <w:tc>
          <w:tcPr>
            <w:tcW w:w="1804" w:type="dxa"/>
          </w:tcPr>
          <w:p w14:paraId="432DC6DF" w14:textId="1C4811DB" w:rsidR="00AC4A16" w:rsidRPr="00496FC6" w:rsidRDefault="00BB0546" w:rsidP="00AC4A16">
            <w:pPr>
              <w:spacing w:after="0"/>
              <w:ind w:left="0"/>
              <w:rPr>
                <w:rFonts w:cstheme="minorHAnsi"/>
              </w:rPr>
            </w:pPr>
            <w:r>
              <w:rPr>
                <w:rFonts w:cstheme="minorHAnsi"/>
              </w:rPr>
              <w:t>Box 6</w:t>
            </w:r>
          </w:p>
        </w:tc>
      </w:tr>
      <w:tr w:rsidR="00D05581" w:rsidRPr="00496FC6" w14:paraId="0A19965D" w14:textId="77777777" w:rsidTr="006E58D7">
        <w:tc>
          <w:tcPr>
            <w:tcW w:w="3606" w:type="dxa"/>
            <w:gridSpan w:val="2"/>
          </w:tcPr>
          <w:p w14:paraId="66AFA93A" w14:textId="448403C0" w:rsidR="00D05581" w:rsidRPr="00496FC6" w:rsidRDefault="00D05581" w:rsidP="00AC4A16">
            <w:pPr>
              <w:spacing w:after="0"/>
              <w:ind w:left="0"/>
              <w:rPr>
                <w:rFonts w:cstheme="minorHAnsi"/>
                <w:b/>
                <w:bCs/>
              </w:rPr>
            </w:pPr>
            <w:r w:rsidRPr="00496FC6">
              <w:rPr>
                <w:rFonts w:cstheme="minorHAnsi"/>
                <w:b/>
                <w:bCs/>
              </w:rPr>
              <w:t>Total Shareholders' equity</w:t>
            </w:r>
          </w:p>
        </w:tc>
        <w:tc>
          <w:tcPr>
            <w:tcW w:w="1803" w:type="dxa"/>
          </w:tcPr>
          <w:p w14:paraId="7BFC0EB4" w14:textId="79D8C895" w:rsidR="00D05581" w:rsidRPr="00496FC6" w:rsidRDefault="004E1C7A" w:rsidP="00286179">
            <w:pPr>
              <w:spacing w:after="0"/>
              <w:ind w:left="0"/>
              <w:jc w:val="center"/>
              <w:rPr>
                <w:rFonts w:cstheme="minorHAnsi"/>
                <w:b/>
                <w:bCs/>
              </w:rPr>
            </w:pPr>
            <w:r>
              <w:rPr>
                <w:rFonts w:cstheme="minorHAnsi"/>
                <w:b/>
                <w:bCs/>
              </w:rPr>
              <w:t>3</w:t>
            </w:r>
            <w:r w:rsidR="008B2924">
              <w:rPr>
                <w:rFonts w:cstheme="minorHAnsi"/>
                <w:b/>
                <w:bCs/>
              </w:rPr>
              <w:t>3,012</w:t>
            </w:r>
          </w:p>
        </w:tc>
        <w:tc>
          <w:tcPr>
            <w:tcW w:w="1803" w:type="dxa"/>
          </w:tcPr>
          <w:p w14:paraId="0FCCFA2B" w14:textId="15CE5906" w:rsidR="00D05581" w:rsidRPr="00496FC6" w:rsidRDefault="00046EDE" w:rsidP="00CD5AAF">
            <w:pPr>
              <w:spacing w:after="0"/>
              <w:ind w:left="0"/>
              <w:jc w:val="center"/>
              <w:rPr>
                <w:rFonts w:cstheme="minorHAnsi"/>
                <w:b/>
                <w:bCs/>
              </w:rPr>
            </w:pPr>
            <w:r>
              <w:rPr>
                <w:rFonts w:cstheme="minorHAnsi"/>
                <w:b/>
                <w:bCs/>
              </w:rPr>
              <w:t>-</w:t>
            </w:r>
          </w:p>
        </w:tc>
        <w:tc>
          <w:tcPr>
            <w:tcW w:w="1804" w:type="dxa"/>
          </w:tcPr>
          <w:p w14:paraId="45A5F0F4" w14:textId="77777777" w:rsidR="00D05581" w:rsidRPr="00496FC6" w:rsidRDefault="00D05581" w:rsidP="00AC4A16">
            <w:pPr>
              <w:spacing w:after="0"/>
              <w:ind w:left="0"/>
              <w:rPr>
                <w:rFonts w:cstheme="minorHAnsi"/>
                <w:b/>
                <w:bCs/>
              </w:rPr>
            </w:pPr>
          </w:p>
        </w:tc>
      </w:tr>
    </w:tbl>
    <w:p w14:paraId="320C2FCC" w14:textId="13AD71D8" w:rsidR="00AC4A16" w:rsidRPr="00496FC6" w:rsidRDefault="00AC4A16">
      <w:pPr>
        <w:pStyle w:val="Heading1"/>
        <w:numPr>
          <w:ilvl w:val="0"/>
          <w:numId w:val="2"/>
        </w:numPr>
        <w:spacing w:line="276" w:lineRule="auto"/>
        <w:rPr>
          <w:rFonts w:asciiTheme="minorHAnsi" w:hAnsiTheme="minorHAnsi" w:cstheme="minorBidi"/>
        </w:rPr>
      </w:pPr>
      <w:bookmarkStart w:id="53" w:name="_Toc139016578"/>
      <w:bookmarkStart w:id="54" w:name="_Toc192838140"/>
      <w:r w:rsidRPr="3498C462">
        <w:rPr>
          <w:rFonts w:asciiTheme="minorHAnsi" w:hAnsiTheme="minorHAnsi" w:cstheme="minorBidi"/>
        </w:rPr>
        <w:lastRenderedPageBreak/>
        <w:t>Own Funds Requirements</w:t>
      </w:r>
      <w:bookmarkEnd w:id="53"/>
      <w:r w:rsidR="007E034A" w:rsidRPr="3498C462">
        <w:rPr>
          <w:rFonts w:asciiTheme="minorHAnsi" w:hAnsiTheme="minorHAnsi" w:cstheme="minorBidi"/>
        </w:rPr>
        <w:t xml:space="preserve"> </w:t>
      </w:r>
      <w:bookmarkEnd w:id="54"/>
    </w:p>
    <w:p w14:paraId="66595A87" w14:textId="76F5DB34" w:rsidR="007A460D" w:rsidRPr="00496FC6" w:rsidRDefault="007A460D" w:rsidP="007A460D">
      <w:pPr>
        <w:ind w:left="0"/>
      </w:pPr>
      <w:r>
        <w:br/>
      </w:r>
      <w:r w:rsidR="6D63FD4F">
        <w:t xml:space="preserve">As noted above, </w:t>
      </w:r>
      <w:r w:rsidR="6E5FECF9">
        <w:t>t</w:t>
      </w:r>
      <w:r w:rsidR="08DA7BF4">
        <w:t xml:space="preserve">he </w:t>
      </w:r>
      <w:r w:rsidR="009057BF">
        <w:t>Group</w:t>
      </w:r>
      <w:r w:rsidRPr="1EBE93B0">
        <w:t xml:space="preserve"> as a non-SNI </w:t>
      </w:r>
      <w:r w:rsidR="529FDBF6">
        <w:t>i</w:t>
      </w:r>
      <w:r w:rsidR="08DA7BF4">
        <w:t xml:space="preserve">nvestment </w:t>
      </w:r>
      <w:r w:rsidR="0EBDD16A">
        <w:t>f</w:t>
      </w:r>
      <w:r w:rsidR="08DA7BF4">
        <w:t>irm</w:t>
      </w:r>
      <w:r w:rsidRPr="1EBE93B0">
        <w:t xml:space="preserve"> </w:t>
      </w:r>
      <w:r w:rsidR="00276267">
        <w:t>is required to</w:t>
      </w:r>
      <w:r w:rsidRPr="1EBE93B0">
        <w:t xml:space="preserve"> have own funds </w:t>
      </w:r>
      <w:r w:rsidR="69BCEBC0" w:rsidRPr="4C5E05D4">
        <w:t>of</w:t>
      </w:r>
      <w:r w:rsidR="20B66705" w:rsidRPr="4C5E05D4">
        <w:t xml:space="preserve"> </w:t>
      </w:r>
      <w:r w:rsidRPr="1EBE93B0">
        <w:t xml:space="preserve">at least </w:t>
      </w:r>
      <w:r w:rsidR="4A21BE03" w:rsidRPr="4C5E05D4">
        <w:t xml:space="preserve">an amount which is </w:t>
      </w:r>
      <w:r w:rsidRPr="1EBE93B0">
        <w:t xml:space="preserve">the </w:t>
      </w:r>
      <w:r w:rsidR="5FA59E7E" w:rsidRPr="76E622D0">
        <w:t xml:space="preserve">greater </w:t>
      </w:r>
      <w:r w:rsidRPr="76E622D0">
        <w:t>of</w:t>
      </w:r>
      <w:r w:rsidRPr="1EBE93B0">
        <w:t xml:space="preserve"> the following:</w:t>
      </w:r>
    </w:p>
    <w:p w14:paraId="3F809118" w14:textId="0E848A4D" w:rsidR="007A460D" w:rsidRPr="00496FC6" w:rsidRDefault="007A460D">
      <w:pPr>
        <w:pStyle w:val="ListParagraph"/>
        <w:numPr>
          <w:ilvl w:val="0"/>
          <w:numId w:val="6"/>
        </w:numPr>
        <w:rPr>
          <w:rFonts w:cstheme="minorHAnsi"/>
        </w:rPr>
      </w:pPr>
      <w:r w:rsidRPr="00496FC6">
        <w:rPr>
          <w:rFonts w:cstheme="minorHAnsi"/>
        </w:rPr>
        <w:t xml:space="preserve">Permanent Minimum Capital Requirement, </w:t>
      </w:r>
    </w:p>
    <w:p w14:paraId="1D5FFDAB" w14:textId="2EC2FB2F" w:rsidR="007A460D" w:rsidRPr="00496FC6" w:rsidRDefault="007A460D">
      <w:pPr>
        <w:pStyle w:val="ListParagraph"/>
        <w:numPr>
          <w:ilvl w:val="0"/>
          <w:numId w:val="6"/>
        </w:numPr>
        <w:rPr>
          <w:rFonts w:cstheme="minorHAnsi"/>
        </w:rPr>
      </w:pPr>
      <w:r w:rsidRPr="00496FC6">
        <w:rPr>
          <w:rFonts w:cstheme="minorHAnsi"/>
        </w:rPr>
        <w:t xml:space="preserve">Fixed Overhead Requirements, and </w:t>
      </w:r>
    </w:p>
    <w:p w14:paraId="2C6A63F1" w14:textId="0DBA70D6" w:rsidR="00AC4A16" w:rsidRPr="00496FC6" w:rsidRDefault="007A460D">
      <w:pPr>
        <w:pStyle w:val="ListParagraph"/>
        <w:numPr>
          <w:ilvl w:val="0"/>
          <w:numId w:val="6"/>
        </w:numPr>
        <w:rPr>
          <w:rFonts w:cstheme="minorHAnsi"/>
        </w:rPr>
      </w:pPr>
      <w:r w:rsidRPr="00496FC6">
        <w:rPr>
          <w:rFonts w:cstheme="minorHAnsi"/>
        </w:rPr>
        <w:t>K-Factors Requirement.</w:t>
      </w:r>
    </w:p>
    <w:p w14:paraId="44877272" w14:textId="2E384881" w:rsidR="007A460D" w:rsidRPr="00496FC6" w:rsidRDefault="007E034A">
      <w:pPr>
        <w:pStyle w:val="Heading2"/>
        <w:numPr>
          <w:ilvl w:val="1"/>
          <w:numId w:val="2"/>
        </w:numPr>
        <w:rPr>
          <w:rFonts w:asciiTheme="minorHAnsi" w:hAnsiTheme="minorHAnsi" w:cstheme="minorBidi"/>
        </w:rPr>
      </w:pPr>
      <w:bookmarkStart w:id="55" w:name="_Toc604243375"/>
      <w:bookmarkStart w:id="56" w:name="_Toc139016579"/>
      <w:r w:rsidRPr="3498C462">
        <w:rPr>
          <w:rFonts w:asciiTheme="minorHAnsi" w:hAnsiTheme="minorHAnsi" w:cstheme="minorBidi"/>
        </w:rPr>
        <w:t>Permanent Minimum Capital Requirement</w:t>
      </w:r>
      <w:bookmarkEnd w:id="55"/>
      <w:bookmarkEnd w:id="56"/>
    </w:p>
    <w:p w14:paraId="4C2619B4" w14:textId="654F73FF" w:rsidR="007E034A" w:rsidRPr="00496FC6" w:rsidRDefault="007E034A" w:rsidP="00FA3778">
      <w:pPr>
        <w:ind w:left="0"/>
      </w:pPr>
      <w:r>
        <w:br/>
      </w:r>
      <w:r w:rsidR="33AA0B59" w:rsidRPr="7F3F34CE">
        <w:t>For</w:t>
      </w:r>
      <w:r w:rsidRPr="7F3F34CE">
        <w:t xml:space="preserve"> a MIFIDPRU </w:t>
      </w:r>
      <w:r w:rsidR="00502751">
        <w:t>i</w:t>
      </w:r>
      <w:r w:rsidRPr="7F3F34CE">
        <w:t xml:space="preserve">nvestment </w:t>
      </w:r>
      <w:r w:rsidR="00502751">
        <w:t>f</w:t>
      </w:r>
      <w:r w:rsidRPr="7F3F34CE">
        <w:t xml:space="preserve">irm which is authorised to offer the following services but is not permitted to hold </w:t>
      </w:r>
      <w:r w:rsidR="00B4324A" w:rsidRPr="7F3F34CE">
        <w:t>clients’</w:t>
      </w:r>
      <w:r w:rsidRPr="7F3F34CE">
        <w:t xml:space="preserve"> money or client assets </w:t>
      </w:r>
      <w:proofErr w:type="gramStart"/>
      <w:r w:rsidRPr="7F3F34CE">
        <w:t xml:space="preserve">in </w:t>
      </w:r>
      <w:r w:rsidR="009C2978" w:rsidRPr="7F3F34CE">
        <w:t xml:space="preserve">the </w:t>
      </w:r>
      <w:r w:rsidRPr="7F3F34CE">
        <w:t>course of</w:t>
      </w:r>
      <w:proofErr w:type="gramEnd"/>
      <w:r w:rsidRPr="7F3F34CE">
        <w:t xml:space="preserve"> </w:t>
      </w:r>
      <w:r w:rsidR="009C2978" w:rsidRPr="7F3F34CE">
        <w:t xml:space="preserve">its </w:t>
      </w:r>
      <w:r w:rsidRPr="7F3F34CE">
        <w:t>MiFID business, the applicable Permanent Minimum Capital Requirement is £75</w:t>
      </w:r>
      <w:r w:rsidR="009435BB" w:rsidRPr="7F3F34CE">
        <w:t>k</w:t>
      </w:r>
      <w:r w:rsidRPr="7F3F34CE">
        <w:t xml:space="preserve">: </w:t>
      </w:r>
    </w:p>
    <w:p w14:paraId="4062FD5B" w14:textId="77777777" w:rsidR="007E034A" w:rsidRPr="00496FC6" w:rsidRDefault="007E034A">
      <w:pPr>
        <w:pStyle w:val="ListParagraph"/>
        <w:numPr>
          <w:ilvl w:val="0"/>
          <w:numId w:val="7"/>
        </w:numPr>
        <w:ind w:left="709"/>
        <w:rPr>
          <w:rFonts w:cstheme="minorHAnsi"/>
        </w:rPr>
      </w:pPr>
      <w:r w:rsidRPr="00496FC6">
        <w:rPr>
          <w:rFonts w:cstheme="minorHAnsi"/>
        </w:rPr>
        <w:t xml:space="preserve">reception and transmission of orders in relation to one or more financial </w:t>
      </w:r>
      <w:proofErr w:type="gramStart"/>
      <w:r w:rsidRPr="00496FC6">
        <w:rPr>
          <w:rFonts w:cstheme="minorHAnsi"/>
        </w:rPr>
        <w:t>instruments;</w:t>
      </w:r>
      <w:proofErr w:type="gramEnd"/>
    </w:p>
    <w:p w14:paraId="2583199E" w14:textId="77777777" w:rsidR="007E034A" w:rsidRPr="00496FC6" w:rsidRDefault="007E034A">
      <w:pPr>
        <w:pStyle w:val="ListParagraph"/>
        <w:numPr>
          <w:ilvl w:val="0"/>
          <w:numId w:val="7"/>
        </w:numPr>
        <w:ind w:left="709"/>
        <w:rPr>
          <w:rFonts w:cstheme="minorHAnsi"/>
        </w:rPr>
      </w:pPr>
      <w:r w:rsidRPr="00496FC6">
        <w:rPr>
          <w:rFonts w:cstheme="minorHAnsi"/>
        </w:rPr>
        <w:t xml:space="preserve">execution of orders on behalf of </w:t>
      </w:r>
      <w:proofErr w:type="gramStart"/>
      <w:r w:rsidRPr="00496FC6">
        <w:rPr>
          <w:rFonts w:cstheme="minorHAnsi"/>
        </w:rPr>
        <w:t>clients;</w:t>
      </w:r>
      <w:proofErr w:type="gramEnd"/>
    </w:p>
    <w:p w14:paraId="0745BAEB" w14:textId="77777777" w:rsidR="007E034A" w:rsidRPr="00496FC6" w:rsidRDefault="007E034A">
      <w:pPr>
        <w:pStyle w:val="ListParagraph"/>
        <w:numPr>
          <w:ilvl w:val="0"/>
          <w:numId w:val="7"/>
        </w:numPr>
        <w:ind w:left="709"/>
        <w:rPr>
          <w:rFonts w:cstheme="minorHAnsi"/>
        </w:rPr>
      </w:pPr>
      <w:r w:rsidRPr="00496FC6">
        <w:rPr>
          <w:rFonts w:cstheme="minorHAnsi"/>
        </w:rPr>
        <w:t xml:space="preserve">portfolio </w:t>
      </w:r>
      <w:proofErr w:type="gramStart"/>
      <w:r w:rsidRPr="00496FC6">
        <w:rPr>
          <w:rFonts w:cstheme="minorHAnsi"/>
        </w:rPr>
        <w:t>management;</w:t>
      </w:r>
      <w:proofErr w:type="gramEnd"/>
    </w:p>
    <w:p w14:paraId="7550E7D2" w14:textId="77777777" w:rsidR="007E034A" w:rsidRPr="00496FC6" w:rsidRDefault="007E034A">
      <w:pPr>
        <w:pStyle w:val="ListParagraph"/>
        <w:numPr>
          <w:ilvl w:val="0"/>
          <w:numId w:val="7"/>
        </w:numPr>
        <w:ind w:left="709"/>
        <w:rPr>
          <w:rFonts w:cstheme="minorHAnsi"/>
        </w:rPr>
      </w:pPr>
      <w:r w:rsidRPr="00496FC6">
        <w:rPr>
          <w:rFonts w:cstheme="minorHAnsi"/>
        </w:rPr>
        <w:t xml:space="preserve">investment advice; or </w:t>
      </w:r>
    </w:p>
    <w:p w14:paraId="27921E05" w14:textId="0E3BBDE7" w:rsidR="007E034A" w:rsidRPr="00496FC6" w:rsidRDefault="007E034A">
      <w:pPr>
        <w:pStyle w:val="ListParagraph"/>
        <w:numPr>
          <w:ilvl w:val="0"/>
          <w:numId w:val="7"/>
        </w:numPr>
        <w:ind w:left="709"/>
        <w:rPr>
          <w:rFonts w:cstheme="minorHAnsi"/>
        </w:rPr>
      </w:pPr>
      <w:r w:rsidRPr="00496FC6">
        <w:rPr>
          <w:rFonts w:cstheme="minorHAnsi"/>
        </w:rPr>
        <w:t>placing of financial instruments without a firm commitment basis</w:t>
      </w:r>
      <w:r w:rsidR="00BB5714">
        <w:rPr>
          <w:rFonts w:cstheme="minorHAnsi"/>
        </w:rPr>
        <w:t>.</w:t>
      </w:r>
    </w:p>
    <w:p w14:paraId="41588F87" w14:textId="3E788D88" w:rsidR="007E034A" w:rsidRPr="00496FC6" w:rsidRDefault="00AE6BEB" w:rsidP="007E034A">
      <w:pPr>
        <w:spacing w:before="120" w:after="120"/>
        <w:ind w:left="0"/>
      </w:pPr>
      <w:proofErr w:type="gramStart"/>
      <w:r w:rsidRPr="7F3F34CE">
        <w:t>The</w:t>
      </w:r>
      <w:r w:rsidR="00CC764E" w:rsidRPr="7F3F34CE">
        <w:t>refore</w:t>
      </w:r>
      <w:proofErr w:type="gramEnd"/>
      <w:r w:rsidR="00CC764E" w:rsidRPr="7F3F34CE">
        <w:t xml:space="preserve"> </w:t>
      </w:r>
      <w:r w:rsidR="002F7AF9">
        <w:t>LAML Group</w:t>
      </w:r>
      <w:r w:rsidRPr="7F3F34CE">
        <w:t>’s</w:t>
      </w:r>
      <w:r w:rsidRPr="7F3F34CE" w:rsidDel="00EE5236">
        <w:t xml:space="preserve"> </w:t>
      </w:r>
      <w:r w:rsidRPr="7F3F34CE">
        <w:t xml:space="preserve">initial capital </w:t>
      </w:r>
      <w:r w:rsidR="00C113B3" w:rsidRPr="7F3F34CE">
        <w:t xml:space="preserve">requirement </w:t>
      </w:r>
      <w:r w:rsidRPr="7F3F34CE">
        <w:t>is £75k based on the investment services which it is authorised by the FCA</w:t>
      </w:r>
      <w:r w:rsidR="00ED71DA">
        <w:t xml:space="preserve"> to offer</w:t>
      </w:r>
      <w:r w:rsidRPr="7F3F34CE">
        <w:t xml:space="preserve">. </w:t>
      </w:r>
    </w:p>
    <w:p w14:paraId="5B4FD192" w14:textId="26ABC9FB" w:rsidR="007E034A" w:rsidRPr="00496FC6" w:rsidRDefault="007E034A" w:rsidP="00414361">
      <w:pPr>
        <w:pStyle w:val="Heading2"/>
        <w:numPr>
          <w:ilvl w:val="1"/>
          <w:numId w:val="2"/>
        </w:numPr>
        <w:spacing w:before="240"/>
        <w:rPr>
          <w:rFonts w:asciiTheme="minorHAnsi" w:hAnsiTheme="minorHAnsi" w:cstheme="minorBidi"/>
        </w:rPr>
      </w:pPr>
      <w:bookmarkStart w:id="57" w:name="_Toc629064162"/>
      <w:bookmarkStart w:id="58" w:name="_Toc139016580"/>
      <w:r w:rsidRPr="3498C462">
        <w:rPr>
          <w:rFonts w:asciiTheme="minorHAnsi" w:hAnsiTheme="minorHAnsi" w:cstheme="minorBidi"/>
        </w:rPr>
        <w:t>Fixed Overheads Requirement</w:t>
      </w:r>
      <w:bookmarkEnd w:id="57"/>
      <w:bookmarkEnd w:id="58"/>
    </w:p>
    <w:p w14:paraId="36C67EF2" w14:textId="7EDC5193" w:rsidR="00C81EFB" w:rsidRPr="00496FC6" w:rsidRDefault="00FD3FE2" w:rsidP="00C81EFB">
      <w:pPr>
        <w:spacing w:before="120" w:after="120"/>
        <w:ind w:left="0"/>
        <w:rPr>
          <w:rFonts w:cstheme="minorHAnsi"/>
          <w:lang w:val="en-US"/>
        </w:rPr>
      </w:pPr>
      <w:r w:rsidRPr="00FD3FE2">
        <w:rPr>
          <w:rFonts w:cstheme="minorHAnsi"/>
          <w:lang w:val="en-US"/>
        </w:rPr>
        <w:t>The fixed overheads requirement (“FOR” or “Fixed Overheads Requirement”)</w:t>
      </w:r>
      <w:r w:rsidR="00C81EFB" w:rsidRPr="00496FC6">
        <w:rPr>
          <w:rFonts w:cstheme="minorHAnsi"/>
          <w:lang w:val="en-US"/>
        </w:rPr>
        <w:t xml:space="preserve"> applies to all MIFIDPRU </w:t>
      </w:r>
      <w:r w:rsidR="00C82CF9">
        <w:rPr>
          <w:rFonts w:cstheme="minorHAnsi"/>
          <w:lang w:val="en-US"/>
        </w:rPr>
        <w:t>i</w:t>
      </w:r>
      <w:r w:rsidR="00C81EFB" w:rsidRPr="00496FC6">
        <w:rPr>
          <w:rFonts w:cstheme="minorHAnsi"/>
          <w:lang w:val="en-US"/>
        </w:rPr>
        <w:t xml:space="preserve">nvestment </w:t>
      </w:r>
      <w:r w:rsidR="00C82CF9">
        <w:rPr>
          <w:rFonts w:cstheme="minorHAnsi"/>
          <w:lang w:val="en-US"/>
        </w:rPr>
        <w:t>f</w:t>
      </w:r>
      <w:r w:rsidR="00C81EFB" w:rsidRPr="00496FC6">
        <w:rPr>
          <w:rFonts w:cstheme="minorHAnsi"/>
          <w:lang w:val="en-US"/>
        </w:rPr>
        <w:t xml:space="preserve">irms. The FOR is intended to calculate a minimum amount of capital that a MIFIDPRU </w:t>
      </w:r>
      <w:r w:rsidR="003341DE">
        <w:rPr>
          <w:rFonts w:cstheme="minorHAnsi"/>
          <w:lang w:val="en-US"/>
        </w:rPr>
        <w:t>i</w:t>
      </w:r>
      <w:r w:rsidR="00C81EFB" w:rsidRPr="00496FC6">
        <w:rPr>
          <w:rFonts w:cstheme="minorHAnsi"/>
          <w:lang w:val="en-US"/>
        </w:rPr>
        <w:t xml:space="preserve">nvestment </w:t>
      </w:r>
      <w:r w:rsidR="003341DE">
        <w:rPr>
          <w:rFonts w:cstheme="minorHAnsi"/>
          <w:lang w:val="en-US"/>
        </w:rPr>
        <w:t>f</w:t>
      </w:r>
      <w:r w:rsidR="00C81EFB" w:rsidRPr="00496FC6">
        <w:rPr>
          <w:rFonts w:cstheme="minorHAnsi"/>
          <w:lang w:val="en-US"/>
        </w:rPr>
        <w:t xml:space="preserve">irm would need available to absorb losses if it has cause to wind-down or exit the market. </w:t>
      </w:r>
    </w:p>
    <w:p w14:paraId="7800DA02" w14:textId="00BC70C2" w:rsidR="00C81EFB" w:rsidRPr="00496FC6" w:rsidRDefault="00C81EFB" w:rsidP="00C81EFB">
      <w:pPr>
        <w:spacing w:before="120" w:after="120"/>
        <w:ind w:left="0"/>
        <w:rPr>
          <w:lang w:val="en-US"/>
        </w:rPr>
      </w:pPr>
      <w:r w:rsidRPr="7F3F34CE">
        <w:rPr>
          <w:lang w:val="en-US"/>
        </w:rPr>
        <w:t>It is calculated as</w:t>
      </w:r>
      <w:r w:rsidRPr="7F3F34CE" w:rsidDel="00582CFE">
        <w:rPr>
          <w:lang w:val="en-US"/>
        </w:rPr>
        <w:t xml:space="preserve"> </w:t>
      </w:r>
      <w:r w:rsidRPr="7F3F34CE">
        <w:rPr>
          <w:lang w:val="en-US"/>
        </w:rPr>
        <w:t>one quarter of the fixed overheads of the preceding year (or business plan where the audited financial statements are not available) in accordance with the provision</w:t>
      </w:r>
      <w:r w:rsidR="000B3231" w:rsidRPr="7F3F34CE">
        <w:rPr>
          <w:lang w:val="en-US"/>
        </w:rPr>
        <w:t>s</w:t>
      </w:r>
      <w:r w:rsidRPr="7F3F34CE">
        <w:rPr>
          <w:lang w:val="en-US"/>
        </w:rPr>
        <w:t xml:space="preserve"> of MIFIDPRU 4.5. When calculating its </w:t>
      </w:r>
      <w:r w:rsidR="001A63B1">
        <w:rPr>
          <w:lang w:val="en-US"/>
        </w:rPr>
        <w:t>F</w:t>
      </w:r>
      <w:r w:rsidRPr="7F3F34CE">
        <w:rPr>
          <w:lang w:val="en-US"/>
        </w:rPr>
        <w:t xml:space="preserve">ixed </w:t>
      </w:r>
      <w:r w:rsidR="001A63B1">
        <w:rPr>
          <w:lang w:val="en-US"/>
        </w:rPr>
        <w:t>O</w:t>
      </w:r>
      <w:r w:rsidRPr="7F3F34CE">
        <w:rPr>
          <w:lang w:val="en-US"/>
        </w:rPr>
        <w:t xml:space="preserve">verheads </w:t>
      </w:r>
      <w:r w:rsidR="001A63B1">
        <w:rPr>
          <w:lang w:val="en-US"/>
        </w:rPr>
        <w:t>R</w:t>
      </w:r>
      <w:r w:rsidRPr="7F3F34CE">
        <w:rPr>
          <w:lang w:val="en-US"/>
        </w:rPr>
        <w:t>equirement, a firm must use</w:t>
      </w:r>
      <w:r w:rsidRPr="7F3F34CE" w:rsidDel="00671EA6">
        <w:rPr>
          <w:lang w:val="en-US"/>
        </w:rPr>
        <w:t xml:space="preserve"> </w:t>
      </w:r>
      <w:r w:rsidRPr="7F3F34CE">
        <w:rPr>
          <w:lang w:val="en-US"/>
        </w:rPr>
        <w:t>figures resulting from the accounting framework applied by the firm in accordance with MIFIDPRU 4.5.2R.</w:t>
      </w:r>
    </w:p>
    <w:p w14:paraId="5B000AE9" w14:textId="32207F44" w:rsidR="00FE4B8B" w:rsidRPr="00414361" w:rsidRDefault="00C81EFB" w:rsidP="009A5EAA">
      <w:pPr>
        <w:spacing w:before="120" w:after="120"/>
        <w:ind w:left="0"/>
        <w:rPr>
          <w:rFonts w:cstheme="minorHAnsi"/>
          <w:lang w:val="en-US"/>
        </w:rPr>
      </w:pPr>
      <w:r w:rsidRPr="00496FC6">
        <w:rPr>
          <w:rFonts w:cstheme="minorHAnsi"/>
          <w:lang w:val="en-US"/>
        </w:rPr>
        <w:t xml:space="preserve">Further to the </w:t>
      </w:r>
      <w:r w:rsidRPr="001B6821">
        <w:rPr>
          <w:rFonts w:cstheme="minorHAnsi"/>
          <w:lang w:val="en-US"/>
        </w:rPr>
        <w:t xml:space="preserve">above, the </w:t>
      </w:r>
      <w:r w:rsidR="002F7AF9">
        <w:rPr>
          <w:rFonts w:cstheme="minorHAnsi"/>
          <w:lang w:val="en-US"/>
        </w:rPr>
        <w:t>Group</w:t>
      </w:r>
      <w:r w:rsidRPr="001B6821">
        <w:rPr>
          <w:rFonts w:cstheme="minorHAnsi"/>
          <w:lang w:val="en-US"/>
        </w:rPr>
        <w:t xml:space="preserve">’s </w:t>
      </w:r>
      <w:r w:rsidR="006519D7">
        <w:rPr>
          <w:rFonts w:cstheme="minorHAnsi"/>
          <w:lang w:val="en-US"/>
        </w:rPr>
        <w:t>F</w:t>
      </w:r>
      <w:r w:rsidRPr="001B6821">
        <w:rPr>
          <w:rFonts w:cstheme="minorHAnsi"/>
          <w:lang w:val="en-US"/>
        </w:rPr>
        <w:t xml:space="preserve">ixed </w:t>
      </w:r>
      <w:r w:rsidR="006519D7">
        <w:rPr>
          <w:rFonts w:cstheme="minorHAnsi"/>
          <w:lang w:val="en-US"/>
        </w:rPr>
        <w:t>O</w:t>
      </w:r>
      <w:r w:rsidRPr="001B6821">
        <w:rPr>
          <w:rFonts w:cstheme="minorHAnsi"/>
          <w:lang w:val="en-US"/>
        </w:rPr>
        <w:t xml:space="preserve">verheads </w:t>
      </w:r>
      <w:r w:rsidR="006519D7">
        <w:rPr>
          <w:rFonts w:cstheme="minorHAnsi"/>
          <w:lang w:val="en-US"/>
        </w:rPr>
        <w:t>R</w:t>
      </w:r>
      <w:r w:rsidRPr="001B6821">
        <w:rPr>
          <w:rFonts w:cstheme="minorHAnsi"/>
          <w:lang w:val="en-US"/>
        </w:rPr>
        <w:t xml:space="preserve">equirement based on the latest audited financial statements is </w:t>
      </w:r>
      <w:r w:rsidRPr="001B6821">
        <w:rPr>
          <w:rFonts w:cstheme="minorHAnsi"/>
        </w:rPr>
        <w:t>£</w:t>
      </w:r>
      <w:r w:rsidR="002F7AF9">
        <w:rPr>
          <w:rFonts w:cstheme="minorHAnsi"/>
        </w:rPr>
        <w:t>17,288</w:t>
      </w:r>
      <w:r w:rsidRPr="001B6821">
        <w:rPr>
          <w:rFonts w:cstheme="minorHAnsi"/>
          <w:lang w:val="en-US"/>
        </w:rPr>
        <w:t>k</w:t>
      </w:r>
      <w:r w:rsidR="00130FCC" w:rsidRPr="001B6821">
        <w:rPr>
          <w:rFonts w:cstheme="minorHAnsi"/>
          <w:lang w:val="en-US"/>
        </w:rPr>
        <w:t>.</w:t>
      </w:r>
      <w:r w:rsidRPr="00496FC6">
        <w:rPr>
          <w:rFonts w:cstheme="minorHAnsi"/>
          <w:lang w:val="en-US"/>
        </w:rPr>
        <w:t xml:space="preserve"> </w:t>
      </w:r>
    </w:p>
    <w:p w14:paraId="2D796916" w14:textId="7EF369EA" w:rsidR="00C81EFB" w:rsidRPr="00496FC6" w:rsidRDefault="00C81EFB" w:rsidP="00414361">
      <w:pPr>
        <w:pStyle w:val="Heading2"/>
        <w:numPr>
          <w:ilvl w:val="1"/>
          <w:numId w:val="2"/>
        </w:numPr>
        <w:spacing w:before="240"/>
        <w:rPr>
          <w:rFonts w:asciiTheme="minorHAnsi" w:hAnsiTheme="minorHAnsi" w:cstheme="minorBidi"/>
        </w:rPr>
      </w:pPr>
      <w:bookmarkStart w:id="59" w:name="_Toc9097968"/>
      <w:bookmarkStart w:id="60" w:name="_Toc139016581"/>
      <w:r w:rsidRPr="3498C462">
        <w:rPr>
          <w:rFonts w:asciiTheme="minorHAnsi" w:hAnsiTheme="minorHAnsi" w:cstheme="minorBidi"/>
        </w:rPr>
        <w:t>K-Factors Requirement</w:t>
      </w:r>
      <w:bookmarkEnd w:id="59"/>
      <w:bookmarkEnd w:id="60"/>
    </w:p>
    <w:p w14:paraId="435C081F" w14:textId="77777777" w:rsidR="00544915" w:rsidRPr="00544915" w:rsidRDefault="001B6821" w:rsidP="00544915">
      <w:pPr>
        <w:ind w:left="0"/>
        <w:rPr>
          <w:rFonts w:cstheme="minorHAnsi"/>
        </w:rPr>
      </w:pPr>
      <w:r>
        <w:br/>
      </w:r>
      <w:r w:rsidR="00544915" w:rsidRPr="00544915">
        <w:rPr>
          <w:rFonts w:cstheme="minorHAnsi"/>
        </w:rPr>
        <w:t>The K-factor capital requirements are essentially a mixture of activity- and exposure-based requirements. K-factor application to an individual FCA investment firm will depend on the MiFID investment services and activities the Firm undertakes.</w:t>
      </w:r>
    </w:p>
    <w:p w14:paraId="3CB0562B" w14:textId="5A580D34" w:rsidR="00544915" w:rsidRDefault="00544915" w:rsidP="00544915">
      <w:pPr>
        <w:ind w:left="0"/>
        <w:rPr>
          <w:rFonts w:cstheme="minorHAnsi"/>
        </w:rPr>
      </w:pPr>
      <w:r w:rsidRPr="00544915">
        <w:rPr>
          <w:rFonts w:cstheme="minorHAnsi"/>
        </w:rPr>
        <w:t>Capital requirement from applying K-factors formula is the sum of Risk to Client (‘</w:t>
      </w:r>
      <w:proofErr w:type="spellStart"/>
      <w:r w:rsidRPr="00544915">
        <w:rPr>
          <w:rFonts w:cstheme="minorHAnsi"/>
        </w:rPr>
        <w:t>RtC</w:t>
      </w:r>
      <w:proofErr w:type="spellEnd"/>
      <w:r w:rsidRPr="00544915">
        <w:rPr>
          <w:rFonts w:cstheme="minorHAnsi"/>
        </w:rPr>
        <w:t>’), Risk to Market (‘</w:t>
      </w:r>
      <w:proofErr w:type="spellStart"/>
      <w:r w:rsidRPr="00544915">
        <w:rPr>
          <w:rFonts w:cstheme="minorHAnsi"/>
        </w:rPr>
        <w:t>RtM</w:t>
      </w:r>
      <w:proofErr w:type="spellEnd"/>
      <w:r w:rsidRPr="00544915">
        <w:rPr>
          <w:rFonts w:cstheme="minorHAnsi"/>
        </w:rPr>
        <w:t>’) and Risk to Firm (‘</w:t>
      </w:r>
      <w:proofErr w:type="spellStart"/>
      <w:r w:rsidRPr="00544915">
        <w:rPr>
          <w:rFonts w:cstheme="minorHAnsi"/>
        </w:rPr>
        <w:t>RtF</w:t>
      </w:r>
      <w:proofErr w:type="spellEnd"/>
      <w:r w:rsidRPr="00544915">
        <w:rPr>
          <w:rFonts w:cstheme="minorHAnsi"/>
        </w:rPr>
        <w:t xml:space="preserve">’) as described in the table below: </w:t>
      </w:r>
    </w:p>
    <w:p w14:paraId="7EFF7A20" w14:textId="29FD0F98" w:rsidR="000B615D" w:rsidRDefault="000B615D" w:rsidP="00544915">
      <w:pPr>
        <w:ind w:left="0"/>
        <w:rPr>
          <w:rFonts w:cstheme="minorHAnsi"/>
        </w:rPr>
      </w:pPr>
    </w:p>
    <w:p w14:paraId="6C4BF855" w14:textId="5B666CDE" w:rsidR="000B615D" w:rsidRDefault="000B615D" w:rsidP="00544915">
      <w:pPr>
        <w:ind w:left="0"/>
        <w:rPr>
          <w:rFonts w:cstheme="minorHAnsi"/>
        </w:rPr>
      </w:pPr>
    </w:p>
    <w:p w14:paraId="036B716B" w14:textId="28368617" w:rsidR="000B615D" w:rsidRDefault="000B615D" w:rsidP="00544915">
      <w:pPr>
        <w:ind w:left="0"/>
        <w:rPr>
          <w:rFonts w:cstheme="minorHAnsi"/>
        </w:rPr>
      </w:pPr>
    </w:p>
    <w:p w14:paraId="4EC2E8A9" w14:textId="77777777" w:rsidR="000B615D" w:rsidRPr="00544915" w:rsidRDefault="000B615D" w:rsidP="00544915">
      <w:pPr>
        <w:ind w:left="0"/>
        <w:rPr>
          <w:rFonts w:cstheme="minorHAnsi"/>
        </w:rPr>
      </w:pPr>
    </w:p>
    <w:p w14:paraId="53E67F58" w14:textId="68EC3078" w:rsidR="00544915" w:rsidRPr="00544915" w:rsidRDefault="00544915" w:rsidP="00544915">
      <w:pPr>
        <w:keepNext/>
        <w:spacing w:after="200" w:line="240" w:lineRule="auto"/>
        <w:ind w:left="0"/>
        <w:jc w:val="left"/>
        <w:rPr>
          <w:rFonts w:cstheme="minorHAnsi"/>
          <w:b/>
          <w:bCs/>
          <w:i/>
          <w:iCs/>
          <w:sz w:val="24"/>
          <w:szCs w:val="24"/>
          <w:lang w:val="en-US"/>
        </w:rPr>
      </w:pPr>
      <w:bookmarkStart w:id="61" w:name="_Toc81212631"/>
      <w:r w:rsidRPr="00544915">
        <w:rPr>
          <w:rFonts w:cstheme="minorHAnsi"/>
          <w:b/>
          <w:bCs/>
          <w:i/>
          <w:iCs/>
          <w:sz w:val="24"/>
          <w:szCs w:val="24"/>
          <w:lang w:val="en-US"/>
        </w:rPr>
        <w:lastRenderedPageBreak/>
        <w:t xml:space="preserve">Table </w:t>
      </w:r>
      <w:r w:rsidRPr="00544915">
        <w:rPr>
          <w:rFonts w:cstheme="minorHAnsi"/>
          <w:b/>
          <w:bCs/>
          <w:i/>
          <w:iCs/>
          <w:sz w:val="24"/>
          <w:szCs w:val="24"/>
          <w:lang w:val="en-US"/>
        </w:rPr>
        <w:fldChar w:fldCharType="begin"/>
      </w:r>
      <w:r w:rsidRPr="00544915">
        <w:rPr>
          <w:rFonts w:cstheme="minorHAnsi"/>
          <w:b/>
          <w:bCs/>
          <w:i/>
          <w:iCs/>
          <w:sz w:val="24"/>
          <w:szCs w:val="24"/>
          <w:lang w:val="en-US"/>
        </w:rPr>
        <w:instrText xml:space="preserve"> SEQ Table \* ARABIC </w:instrText>
      </w:r>
      <w:r w:rsidRPr="00544915">
        <w:rPr>
          <w:rFonts w:cstheme="minorHAnsi"/>
          <w:b/>
          <w:bCs/>
          <w:i/>
          <w:iCs/>
          <w:sz w:val="24"/>
          <w:szCs w:val="24"/>
          <w:lang w:val="en-US"/>
        </w:rPr>
        <w:fldChar w:fldCharType="separate"/>
      </w:r>
      <w:r w:rsidR="005C7385">
        <w:rPr>
          <w:rFonts w:cstheme="minorHAnsi"/>
          <w:b/>
          <w:bCs/>
          <w:i/>
          <w:iCs/>
          <w:noProof/>
          <w:sz w:val="24"/>
          <w:szCs w:val="24"/>
          <w:lang w:val="en-US"/>
        </w:rPr>
        <w:t>6</w:t>
      </w:r>
      <w:r w:rsidRPr="00544915">
        <w:rPr>
          <w:rFonts w:cstheme="minorHAnsi"/>
          <w:b/>
          <w:bCs/>
          <w:i/>
          <w:iCs/>
          <w:sz w:val="24"/>
          <w:szCs w:val="24"/>
          <w:lang w:val="en-US"/>
        </w:rPr>
        <w:fldChar w:fldCharType="end"/>
      </w:r>
      <w:r w:rsidRPr="00544915">
        <w:rPr>
          <w:rFonts w:cstheme="minorHAnsi"/>
          <w:b/>
          <w:bCs/>
          <w:i/>
          <w:iCs/>
          <w:sz w:val="24"/>
          <w:szCs w:val="24"/>
          <w:lang w:val="en-US"/>
        </w:rPr>
        <w:t>: K-Factors Proxies</w:t>
      </w:r>
      <w:bookmarkEnd w:id="61"/>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16"/>
        <w:gridCol w:w="2835"/>
        <w:gridCol w:w="3118"/>
      </w:tblGrid>
      <w:tr w:rsidR="00544915" w:rsidRPr="00544915" w14:paraId="5BC76F38" w14:textId="77777777" w:rsidTr="00475F85">
        <w:trPr>
          <w:trHeight w:val="99"/>
        </w:trPr>
        <w:tc>
          <w:tcPr>
            <w:tcW w:w="3116" w:type="dxa"/>
            <w:shd w:val="clear" w:color="auto" w:fill="C00000"/>
            <w:tcMar>
              <w:top w:w="72" w:type="dxa"/>
              <w:left w:w="144" w:type="dxa"/>
              <w:bottom w:w="72" w:type="dxa"/>
              <w:right w:w="144" w:type="dxa"/>
            </w:tcMar>
            <w:vAlign w:val="center"/>
            <w:hideMark/>
          </w:tcPr>
          <w:p w14:paraId="4CB036FF" w14:textId="77777777" w:rsidR="00544915" w:rsidRPr="00544915" w:rsidRDefault="00544915" w:rsidP="00544915">
            <w:pPr>
              <w:spacing w:after="0" w:line="240" w:lineRule="auto"/>
              <w:ind w:left="-149" w:right="-144"/>
              <w:jc w:val="center"/>
              <w:rPr>
                <w:rFonts w:eastAsia="Times New Roman" w:cstheme="minorHAnsi"/>
              </w:rPr>
            </w:pPr>
            <w:r w:rsidRPr="00544915">
              <w:rPr>
                <w:rFonts w:eastAsia="Times New Roman" w:cstheme="minorHAnsi"/>
                <w:b/>
                <w:bCs/>
                <w:kern w:val="24"/>
              </w:rPr>
              <w:t>Risk to Client (</w:t>
            </w:r>
            <w:proofErr w:type="spellStart"/>
            <w:r w:rsidRPr="00544915">
              <w:rPr>
                <w:rFonts w:eastAsia="Times New Roman" w:cstheme="minorHAnsi"/>
                <w:b/>
                <w:bCs/>
                <w:kern w:val="24"/>
              </w:rPr>
              <w:t>RtC</w:t>
            </w:r>
            <w:proofErr w:type="spellEnd"/>
            <w:r w:rsidRPr="00544915">
              <w:rPr>
                <w:rFonts w:eastAsia="Times New Roman" w:cstheme="minorHAnsi"/>
                <w:b/>
                <w:bCs/>
                <w:kern w:val="24"/>
              </w:rPr>
              <w:t>)</w:t>
            </w:r>
          </w:p>
        </w:tc>
        <w:tc>
          <w:tcPr>
            <w:tcW w:w="2835" w:type="dxa"/>
            <w:shd w:val="clear" w:color="auto" w:fill="C00000"/>
            <w:tcMar>
              <w:top w:w="72" w:type="dxa"/>
              <w:left w:w="144" w:type="dxa"/>
              <w:bottom w:w="72" w:type="dxa"/>
              <w:right w:w="144" w:type="dxa"/>
            </w:tcMar>
            <w:vAlign w:val="center"/>
            <w:hideMark/>
          </w:tcPr>
          <w:p w14:paraId="1F3AC149" w14:textId="77777777" w:rsidR="00544915" w:rsidRPr="00544915" w:rsidRDefault="00544915" w:rsidP="00544915">
            <w:pPr>
              <w:spacing w:after="0" w:line="240" w:lineRule="auto"/>
              <w:ind w:left="-149" w:right="-144"/>
              <w:jc w:val="center"/>
              <w:rPr>
                <w:rFonts w:eastAsia="Times New Roman" w:cstheme="minorHAnsi"/>
              </w:rPr>
            </w:pPr>
            <w:r w:rsidRPr="00544915">
              <w:rPr>
                <w:rFonts w:eastAsia="Times New Roman" w:cstheme="minorHAnsi"/>
                <w:b/>
                <w:bCs/>
                <w:kern w:val="24"/>
              </w:rPr>
              <w:t>Risk to Market (</w:t>
            </w:r>
            <w:proofErr w:type="spellStart"/>
            <w:r w:rsidRPr="00544915">
              <w:rPr>
                <w:rFonts w:eastAsia="Times New Roman" w:cstheme="minorHAnsi"/>
                <w:b/>
                <w:bCs/>
                <w:kern w:val="24"/>
              </w:rPr>
              <w:t>RtM</w:t>
            </w:r>
            <w:proofErr w:type="spellEnd"/>
            <w:r w:rsidRPr="00544915">
              <w:rPr>
                <w:rFonts w:eastAsia="Times New Roman" w:cstheme="minorHAnsi"/>
                <w:b/>
                <w:bCs/>
                <w:kern w:val="24"/>
              </w:rPr>
              <w:t>)</w:t>
            </w:r>
          </w:p>
        </w:tc>
        <w:tc>
          <w:tcPr>
            <w:tcW w:w="3118" w:type="dxa"/>
            <w:shd w:val="clear" w:color="auto" w:fill="C00000"/>
            <w:tcMar>
              <w:top w:w="72" w:type="dxa"/>
              <w:left w:w="144" w:type="dxa"/>
              <w:bottom w:w="72" w:type="dxa"/>
              <w:right w:w="144" w:type="dxa"/>
            </w:tcMar>
            <w:vAlign w:val="center"/>
            <w:hideMark/>
          </w:tcPr>
          <w:p w14:paraId="2C15CF88" w14:textId="77777777" w:rsidR="00544915" w:rsidRPr="00544915" w:rsidRDefault="00544915" w:rsidP="00544915">
            <w:pPr>
              <w:spacing w:after="0" w:line="240" w:lineRule="auto"/>
              <w:ind w:left="-149" w:right="-144"/>
              <w:jc w:val="center"/>
              <w:rPr>
                <w:rFonts w:eastAsia="Times New Roman" w:cstheme="minorHAnsi"/>
              </w:rPr>
            </w:pPr>
            <w:r w:rsidRPr="00544915">
              <w:rPr>
                <w:rFonts w:eastAsia="Times New Roman" w:cstheme="minorHAnsi"/>
                <w:b/>
                <w:bCs/>
                <w:kern w:val="24"/>
              </w:rPr>
              <w:t>Risk to Firm (</w:t>
            </w:r>
            <w:proofErr w:type="spellStart"/>
            <w:r w:rsidRPr="00544915">
              <w:rPr>
                <w:rFonts w:eastAsia="Times New Roman" w:cstheme="minorHAnsi"/>
                <w:b/>
                <w:bCs/>
                <w:kern w:val="24"/>
              </w:rPr>
              <w:t>RtF</w:t>
            </w:r>
            <w:proofErr w:type="spellEnd"/>
            <w:r w:rsidRPr="00544915">
              <w:rPr>
                <w:rFonts w:eastAsia="Times New Roman" w:cstheme="minorHAnsi"/>
                <w:b/>
                <w:bCs/>
                <w:kern w:val="24"/>
              </w:rPr>
              <w:t>)</w:t>
            </w:r>
          </w:p>
        </w:tc>
      </w:tr>
      <w:tr w:rsidR="00544915" w:rsidRPr="00544915" w14:paraId="49538D61" w14:textId="77777777" w:rsidTr="00475F85">
        <w:trPr>
          <w:trHeight w:val="2501"/>
        </w:trPr>
        <w:tc>
          <w:tcPr>
            <w:tcW w:w="3116" w:type="dxa"/>
            <w:shd w:val="clear" w:color="auto" w:fill="auto"/>
            <w:tcMar>
              <w:top w:w="72" w:type="dxa"/>
              <w:left w:w="144" w:type="dxa"/>
              <w:bottom w:w="72" w:type="dxa"/>
              <w:right w:w="144" w:type="dxa"/>
            </w:tcMar>
            <w:hideMark/>
          </w:tcPr>
          <w:p w14:paraId="0D0296E1" w14:textId="77777777" w:rsidR="00544915" w:rsidRPr="00544915" w:rsidRDefault="00544915">
            <w:pPr>
              <w:numPr>
                <w:ilvl w:val="0"/>
                <w:numId w:val="8"/>
              </w:numPr>
              <w:spacing w:after="0" w:line="240" w:lineRule="auto"/>
              <w:ind w:left="276"/>
              <w:contextualSpacing/>
              <w:jc w:val="left"/>
              <w:rPr>
                <w:rFonts w:eastAsia="Times New Roman" w:cstheme="minorHAnsi"/>
              </w:rPr>
            </w:pPr>
            <w:r w:rsidRPr="00544915">
              <w:rPr>
                <w:rFonts w:eastAsia="Times New Roman" w:cstheme="minorHAnsi"/>
                <w:color w:val="000000"/>
                <w:kern w:val="24"/>
              </w:rPr>
              <w:t xml:space="preserve">K-AUM: Assets Under Management </w:t>
            </w:r>
          </w:p>
          <w:p w14:paraId="3762FFEB" w14:textId="77777777" w:rsidR="00544915" w:rsidRPr="00544915" w:rsidRDefault="00544915">
            <w:pPr>
              <w:numPr>
                <w:ilvl w:val="0"/>
                <w:numId w:val="8"/>
              </w:numPr>
              <w:spacing w:after="0" w:line="240" w:lineRule="auto"/>
              <w:ind w:left="276"/>
              <w:contextualSpacing/>
              <w:jc w:val="left"/>
              <w:rPr>
                <w:rFonts w:eastAsia="Times New Roman" w:cstheme="minorHAnsi"/>
              </w:rPr>
            </w:pPr>
            <w:r w:rsidRPr="00544915">
              <w:rPr>
                <w:rFonts w:eastAsia="Times New Roman" w:cstheme="minorHAnsi"/>
                <w:color w:val="000000"/>
                <w:kern w:val="24"/>
              </w:rPr>
              <w:t xml:space="preserve">K-ASA: Client Assets Safeguarded and Administered </w:t>
            </w:r>
          </w:p>
          <w:p w14:paraId="6C00AD77" w14:textId="77777777" w:rsidR="00544915" w:rsidRPr="00544915" w:rsidRDefault="00544915">
            <w:pPr>
              <w:numPr>
                <w:ilvl w:val="0"/>
                <w:numId w:val="8"/>
              </w:numPr>
              <w:spacing w:after="0" w:line="240" w:lineRule="auto"/>
              <w:ind w:left="276"/>
              <w:contextualSpacing/>
              <w:jc w:val="left"/>
              <w:rPr>
                <w:rFonts w:eastAsia="Times New Roman" w:cstheme="minorHAnsi"/>
              </w:rPr>
            </w:pPr>
            <w:r w:rsidRPr="00544915">
              <w:rPr>
                <w:rFonts w:eastAsia="Times New Roman" w:cstheme="minorHAnsi"/>
                <w:color w:val="000000"/>
                <w:kern w:val="24"/>
              </w:rPr>
              <w:t>K-CMH: Client Money Held, and</w:t>
            </w:r>
          </w:p>
          <w:p w14:paraId="710B98ED" w14:textId="77777777" w:rsidR="00544915" w:rsidRPr="00544915" w:rsidRDefault="00544915">
            <w:pPr>
              <w:numPr>
                <w:ilvl w:val="0"/>
                <w:numId w:val="8"/>
              </w:numPr>
              <w:spacing w:after="0" w:line="240" w:lineRule="auto"/>
              <w:ind w:left="276"/>
              <w:contextualSpacing/>
              <w:jc w:val="left"/>
              <w:rPr>
                <w:rFonts w:eastAsia="Times New Roman" w:cstheme="minorHAnsi"/>
              </w:rPr>
            </w:pPr>
            <w:r w:rsidRPr="00544915">
              <w:rPr>
                <w:rFonts w:eastAsia="Times New Roman" w:cstheme="minorHAnsi"/>
                <w:color w:val="000000"/>
                <w:kern w:val="24"/>
              </w:rPr>
              <w:t>K-COH: Client Orders Handled</w:t>
            </w:r>
          </w:p>
        </w:tc>
        <w:tc>
          <w:tcPr>
            <w:tcW w:w="2835" w:type="dxa"/>
            <w:shd w:val="clear" w:color="auto" w:fill="auto"/>
            <w:tcMar>
              <w:top w:w="72" w:type="dxa"/>
              <w:left w:w="144" w:type="dxa"/>
              <w:bottom w:w="72" w:type="dxa"/>
              <w:right w:w="144" w:type="dxa"/>
            </w:tcMar>
            <w:hideMark/>
          </w:tcPr>
          <w:p w14:paraId="64F6AF1C" w14:textId="77777777" w:rsidR="00544915" w:rsidRPr="00544915" w:rsidRDefault="00544915">
            <w:pPr>
              <w:numPr>
                <w:ilvl w:val="0"/>
                <w:numId w:val="9"/>
              </w:numPr>
              <w:spacing w:after="0" w:line="240" w:lineRule="auto"/>
              <w:ind w:left="284"/>
              <w:contextualSpacing/>
              <w:jc w:val="left"/>
              <w:rPr>
                <w:rFonts w:eastAsia="Times New Roman" w:cstheme="minorHAnsi"/>
              </w:rPr>
            </w:pPr>
            <w:r w:rsidRPr="00544915">
              <w:rPr>
                <w:rFonts w:eastAsia="Times New Roman" w:cstheme="minorHAnsi"/>
                <w:color w:val="000000"/>
                <w:kern w:val="24"/>
              </w:rPr>
              <w:t xml:space="preserve">K-NPR: Net Position Risk (calculated in accordance </w:t>
            </w:r>
            <w:proofErr w:type="gramStart"/>
            <w:r w:rsidRPr="00544915">
              <w:rPr>
                <w:rFonts w:eastAsia="Times New Roman" w:cstheme="minorHAnsi"/>
                <w:color w:val="000000"/>
                <w:kern w:val="24"/>
              </w:rPr>
              <w:t>to</w:t>
            </w:r>
            <w:proofErr w:type="gramEnd"/>
            <w:r w:rsidRPr="00544915">
              <w:rPr>
                <w:rFonts w:eastAsia="Times New Roman" w:cstheme="minorHAnsi"/>
                <w:color w:val="000000"/>
                <w:kern w:val="24"/>
              </w:rPr>
              <w:t xml:space="preserve"> CRR); or</w:t>
            </w:r>
          </w:p>
          <w:p w14:paraId="66A8BE7B" w14:textId="77777777" w:rsidR="00544915" w:rsidRPr="00544915" w:rsidRDefault="00544915">
            <w:pPr>
              <w:numPr>
                <w:ilvl w:val="0"/>
                <w:numId w:val="9"/>
              </w:numPr>
              <w:spacing w:after="0" w:line="240" w:lineRule="auto"/>
              <w:ind w:left="284"/>
              <w:contextualSpacing/>
              <w:jc w:val="left"/>
              <w:rPr>
                <w:rFonts w:eastAsia="Times New Roman" w:cstheme="minorHAnsi"/>
              </w:rPr>
            </w:pPr>
            <w:r w:rsidRPr="00544915">
              <w:rPr>
                <w:rFonts w:eastAsia="Times New Roman" w:cstheme="minorHAnsi"/>
                <w:color w:val="000000"/>
                <w:kern w:val="24"/>
              </w:rPr>
              <w:t>K-CMG: Clearing Member Guarantee</w:t>
            </w:r>
          </w:p>
        </w:tc>
        <w:tc>
          <w:tcPr>
            <w:tcW w:w="3118" w:type="dxa"/>
            <w:shd w:val="clear" w:color="auto" w:fill="auto"/>
            <w:tcMar>
              <w:top w:w="72" w:type="dxa"/>
              <w:left w:w="144" w:type="dxa"/>
              <w:bottom w:w="72" w:type="dxa"/>
              <w:right w:w="144" w:type="dxa"/>
            </w:tcMar>
            <w:hideMark/>
          </w:tcPr>
          <w:p w14:paraId="72A05171" w14:textId="77777777" w:rsidR="00544915" w:rsidRPr="00544915" w:rsidRDefault="00544915" w:rsidP="00544915">
            <w:pPr>
              <w:spacing w:after="0" w:line="240" w:lineRule="auto"/>
              <w:rPr>
                <w:rFonts w:eastAsia="Times New Roman" w:cstheme="minorHAnsi"/>
              </w:rPr>
            </w:pPr>
            <w:r w:rsidRPr="00544915">
              <w:rPr>
                <w:rFonts w:eastAsia="Times New Roman" w:cstheme="minorHAnsi"/>
                <w:b/>
                <w:bCs/>
                <w:color w:val="000000"/>
                <w:kern w:val="24"/>
              </w:rPr>
              <w:t>Sum of:</w:t>
            </w:r>
          </w:p>
          <w:p w14:paraId="0B615750" w14:textId="77777777" w:rsidR="00544915" w:rsidRPr="00544915" w:rsidRDefault="00544915">
            <w:pPr>
              <w:numPr>
                <w:ilvl w:val="0"/>
                <w:numId w:val="10"/>
              </w:numPr>
              <w:spacing w:after="0" w:line="240" w:lineRule="auto"/>
              <w:ind w:left="415"/>
              <w:contextualSpacing/>
              <w:jc w:val="left"/>
              <w:rPr>
                <w:rFonts w:eastAsia="Times New Roman" w:cstheme="minorHAnsi"/>
              </w:rPr>
            </w:pPr>
            <w:r w:rsidRPr="00544915">
              <w:rPr>
                <w:rFonts w:eastAsia="Times New Roman" w:cstheme="minorHAnsi"/>
                <w:color w:val="000000"/>
                <w:kern w:val="24"/>
              </w:rPr>
              <w:t xml:space="preserve">K-TCD: Trading Counterparty Default </w:t>
            </w:r>
          </w:p>
          <w:p w14:paraId="305F43E6" w14:textId="77777777" w:rsidR="00544915" w:rsidRPr="00544915" w:rsidRDefault="00544915">
            <w:pPr>
              <w:numPr>
                <w:ilvl w:val="0"/>
                <w:numId w:val="10"/>
              </w:numPr>
              <w:spacing w:after="0" w:line="240" w:lineRule="auto"/>
              <w:ind w:left="415"/>
              <w:contextualSpacing/>
              <w:jc w:val="left"/>
              <w:rPr>
                <w:rFonts w:eastAsia="Times New Roman" w:cstheme="minorHAnsi"/>
              </w:rPr>
            </w:pPr>
            <w:r w:rsidRPr="00544915">
              <w:rPr>
                <w:rFonts w:eastAsia="Times New Roman" w:cstheme="minorHAnsi"/>
                <w:color w:val="000000"/>
                <w:kern w:val="24"/>
              </w:rPr>
              <w:t>K-CON: Concentration risk based on large exposures, and</w:t>
            </w:r>
          </w:p>
          <w:p w14:paraId="51BC8BFF" w14:textId="77777777" w:rsidR="00544915" w:rsidRPr="00544915" w:rsidRDefault="00544915">
            <w:pPr>
              <w:numPr>
                <w:ilvl w:val="0"/>
                <w:numId w:val="10"/>
              </w:numPr>
              <w:spacing w:after="0" w:line="240" w:lineRule="auto"/>
              <w:ind w:left="415"/>
              <w:contextualSpacing/>
              <w:jc w:val="left"/>
              <w:rPr>
                <w:rFonts w:eastAsia="Times New Roman" w:cstheme="minorHAnsi"/>
              </w:rPr>
            </w:pPr>
            <w:r w:rsidRPr="00544915">
              <w:rPr>
                <w:rFonts w:eastAsia="Times New Roman" w:cstheme="minorHAnsi"/>
                <w:color w:val="000000"/>
                <w:kern w:val="24"/>
              </w:rPr>
              <w:t>K-DTF: Operational risks from Daily Trading Flow</w:t>
            </w:r>
          </w:p>
        </w:tc>
      </w:tr>
    </w:tbl>
    <w:p w14:paraId="2563909D" w14:textId="525D4D2D" w:rsidR="00544915" w:rsidRPr="00544915" w:rsidRDefault="00544915" w:rsidP="00544915">
      <w:pPr>
        <w:ind w:left="0"/>
        <w:rPr>
          <w:rFonts w:cstheme="minorHAnsi"/>
        </w:rPr>
      </w:pPr>
      <w:r w:rsidRPr="00544915">
        <w:rPr>
          <w:rFonts w:cstheme="minorHAnsi"/>
        </w:rPr>
        <w:br/>
      </w:r>
      <w:r w:rsidRPr="00544915">
        <w:rPr>
          <w:rFonts w:cstheme="minorHAnsi"/>
        </w:rPr>
        <w:br/>
        <w:t xml:space="preserve">Further to the above </w:t>
      </w:r>
      <w:r w:rsidR="00EE4B2D">
        <w:rPr>
          <w:rFonts w:cstheme="minorHAnsi"/>
        </w:rPr>
        <w:t xml:space="preserve">the K-AUM and K-CMH proxies are applicable to the </w:t>
      </w:r>
      <w:r w:rsidR="00587391">
        <w:rPr>
          <w:rFonts w:cstheme="minorHAnsi"/>
        </w:rPr>
        <w:t xml:space="preserve">LAML </w:t>
      </w:r>
      <w:r w:rsidR="00EE4B2D">
        <w:rPr>
          <w:rFonts w:cstheme="minorHAnsi"/>
        </w:rPr>
        <w:t>Group</w:t>
      </w:r>
      <w:r w:rsidRPr="00544915">
        <w:rPr>
          <w:rFonts w:cstheme="minorHAnsi"/>
        </w:rPr>
        <w:t>.</w:t>
      </w:r>
    </w:p>
    <w:p w14:paraId="4D035F40" w14:textId="77777777" w:rsidR="00EE4B2D" w:rsidRPr="00EE4B2D" w:rsidRDefault="00EE4B2D">
      <w:pPr>
        <w:keepNext/>
        <w:keepLines/>
        <w:numPr>
          <w:ilvl w:val="3"/>
          <w:numId w:val="2"/>
        </w:numPr>
        <w:spacing w:before="40" w:after="0"/>
        <w:ind w:left="1701"/>
        <w:outlineLvl w:val="3"/>
        <w:rPr>
          <w:rFonts w:eastAsiaTheme="majorEastAsia" w:cstheme="minorHAnsi"/>
          <w:i/>
          <w:iCs/>
          <w:color w:val="C00000"/>
        </w:rPr>
      </w:pPr>
      <w:r w:rsidRPr="00EE4B2D">
        <w:rPr>
          <w:rFonts w:eastAsiaTheme="majorEastAsia" w:cstheme="minorHAnsi"/>
          <w:i/>
          <w:iCs/>
          <w:color w:val="C00000"/>
        </w:rPr>
        <w:t>K-AUM: Assets Under Management</w:t>
      </w:r>
    </w:p>
    <w:p w14:paraId="1569FD75" w14:textId="77777777" w:rsidR="00EE4B2D" w:rsidRPr="00EE4B2D" w:rsidRDefault="00EE4B2D" w:rsidP="00EE4B2D">
      <w:pPr>
        <w:ind w:left="0"/>
        <w:rPr>
          <w:rFonts w:cstheme="minorHAnsi"/>
          <w:lang w:val="da-DK"/>
        </w:rPr>
      </w:pPr>
      <w:r w:rsidRPr="00EE4B2D">
        <w:rPr>
          <w:rFonts w:cstheme="minorHAnsi"/>
        </w:rPr>
        <w:br/>
      </w:r>
      <w:r w:rsidRPr="00EE4B2D">
        <w:rPr>
          <w:rFonts w:cstheme="minorHAnsi"/>
          <w:lang w:val="da-DK"/>
        </w:rPr>
        <w:t>K‐AUM captures the risk of harm to clients from an incorrect discretionary management of client portfolios or poor execution and provides reassurance and client benefits in terms of the continuity of service of ongoing portfolio management and investment advice.</w:t>
      </w:r>
    </w:p>
    <w:p w14:paraId="1E2D37DD" w14:textId="77777777" w:rsidR="00EE4B2D" w:rsidRPr="00EE4B2D" w:rsidRDefault="00EE4B2D" w:rsidP="00EE4B2D">
      <w:pPr>
        <w:ind w:left="0"/>
        <w:rPr>
          <w:rFonts w:cstheme="minorHAnsi"/>
        </w:rPr>
      </w:pPr>
      <w:r w:rsidRPr="00EE4B2D">
        <w:rPr>
          <w:rFonts w:cstheme="minorHAnsi"/>
        </w:rPr>
        <w:t xml:space="preserve">AUM is the value of assets an IF manages for its clients under both discretionary portfolio management and non-discretionary arrangements constituting investment advice of an ongoing nature. </w:t>
      </w:r>
    </w:p>
    <w:p w14:paraId="47C4E244" w14:textId="77777777" w:rsidR="00EE4B2D" w:rsidRPr="00EE4B2D" w:rsidRDefault="00EE4B2D" w:rsidP="00EE4B2D">
      <w:pPr>
        <w:ind w:left="0"/>
        <w:rPr>
          <w:rFonts w:cstheme="minorHAnsi"/>
          <w:b/>
          <w:bCs/>
        </w:rPr>
      </w:pPr>
      <w:r w:rsidRPr="00EE4B2D">
        <w:rPr>
          <w:rFonts w:cstheme="minorHAnsi"/>
          <w:b/>
          <w:bCs/>
        </w:rPr>
        <w:t>Calculation</w:t>
      </w:r>
    </w:p>
    <w:p w14:paraId="416CF104" w14:textId="77777777" w:rsidR="008B2924" w:rsidRPr="008B2924" w:rsidRDefault="00EE4B2D" w:rsidP="008B2924">
      <w:pPr>
        <w:ind w:left="0"/>
        <w:rPr>
          <w:rFonts w:cstheme="minorHAnsi"/>
        </w:rPr>
      </w:pPr>
      <w:r w:rsidRPr="00EE4B2D">
        <w:rPr>
          <w:rFonts w:cstheme="minorHAnsi"/>
        </w:rPr>
        <w:t xml:space="preserve">AUM </w:t>
      </w:r>
      <w:r w:rsidR="008B2924" w:rsidRPr="008B2924">
        <w:rPr>
          <w:rFonts w:cstheme="minorHAnsi"/>
        </w:rPr>
        <w:t>shall be the rolling average of the value of the total monthly assets under management, measured on the last business day of each of the previous 15 months, excluding the 3 most recent monthly values.</w:t>
      </w:r>
    </w:p>
    <w:p w14:paraId="0B66F2F5" w14:textId="77777777" w:rsidR="008B2924" w:rsidRPr="008B2924" w:rsidRDefault="008B2924" w:rsidP="008B2924">
      <w:pPr>
        <w:ind w:left="0"/>
        <w:rPr>
          <w:rFonts w:cstheme="minorHAnsi"/>
        </w:rPr>
      </w:pPr>
      <w:r w:rsidRPr="008B2924">
        <w:rPr>
          <w:rFonts w:cstheme="minorHAnsi"/>
        </w:rPr>
        <w:t>K-AUM shall be the arithmetic mean of the remaining 12 monthly values multiplied by the relevant coefficient of 0.02%.</w:t>
      </w:r>
    </w:p>
    <w:p w14:paraId="18447D9B" w14:textId="078365F1" w:rsidR="00EE4B2D" w:rsidRPr="00EE4B2D" w:rsidRDefault="008B2924" w:rsidP="008B2924">
      <w:pPr>
        <w:ind w:left="0"/>
        <w:rPr>
          <w:rFonts w:cstheme="minorHAnsi"/>
        </w:rPr>
      </w:pPr>
      <w:r w:rsidRPr="008B2924">
        <w:rPr>
          <w:rFonts w:cstheme="minorHAnsi"/>
        </w:rPr>
        <w:t xml:space="preserve">As </w:t>
      </w:r>
      <w:proofErr w:type="gramStart"/>
      <w:r w:rsidRPr="008B2924">
        <w:rPr>
          <w:rFonts w:cstheme="minorHAnsi"/>
        </w:rPr>
        <w:t>at</w:t>
      </w:r>
      <w:proofErr w:type="gramEnd"/>
      <w:r w:rsidRPr="008B2924">
        <w:rPr>
          <w:rFonts w:cstheme="minorHAnsi"/>
        </w:rPr>
        <w:t xml:space="preserve"> 31 December 2023 the Group’s average AUM was £39,791,782,607 and the respective K-AUM was £7,958,357</w:t>
      </w:r>
      <w:r w:rsidR="00AB562A" w:rsidRPr="00AB562A">
        <w:rPr>
          <w:rFonts w:cstheme="minorHAnsi"/>
        </w:rPr>
        <w:t>.</w:t>
      </w:r>
    </w:p>
    <w:p w14:paraId="169361CD" w14:textId="77777777" w:rsidR="00EE4B2D" w:rsidRPr="00EE4B2D" w:rsidRDefault="00EE4B2D">
      <w:pPr>
        <w:keepNext/>
        <w:keepLines/>
        <w:numPr>
          <w:ilvl w:val="3"/>
          <w:numId w:val="2"/>
        </w:numPr>
        <w:spacing w:before="40" w:after="0"/>
        <w:ind w:left="1701"/>
        <w:outlineLvl w:val="3"/>
        <w:rPr>
          <w:rFonts w:eastAsiaTheme="majorEastAsia" w:cstheme="minorHAnsi"/>
          <w:i/>
          <w:iCs/>
          <w:color w:val="C00000"/>
        </w:rPr>
      </w:pPr>
      <w:r w:rsidRPr="00EE4B2D">
        <w:rPr>
          <w:rFonts w:eastAsiaTheme="majorEastAsia" w:cstheme="minorHAnsi"/>
          <w:i/>
          <w:iCs/>
          <w:color w:val="C00000"/>
        </w:rPr>
        <w:t>K-CMH: Clients Money Held</w:t>
      </w:r>
    </w:p>
    <w:p w14:paraId="6E0E44F2" w14:textId="77777777" w:rsidR="008B2924" w:rsidRPr="008B2924" w:rsidRDefault="00EE4B2D" w:rsidP="008B2924">
      <w:pPr>
        <w:ind w:left="0"/>
        <w:rPr>
          <w:rFonts w:cstheme="minorHAnsi"/>
          <w:lang w:val="da-DK"/>
        </w:rPr>
      </w:pPr>
      <w:r w:rsidRPr="00EE4B2D">
        <w:rPr>
          <w:rFonts w:cstheme="minorHAnsi"/>
          <w:lang w:val="da-DK"/>
        </w:rPr>
        <w:br/>
        <w:t>K</w:t>
      </w:r>
      <w:r w:rsidR="008B2924" w:rsidRPr="008B2924">
        <w:rPr>
          <w:rFonts w:cstheme="minorHAnsi"/>
          <w:lang w:val="da-DK"/>
        </w:rPr>
        <w:t>‐CMH captures the risk of potential for harm where an investment firm holds the money of its clients, taking into account whether they are on its own balance sheet or in third‐party accounts and arrangements under applicable national law, provided that client money is safeguarded in the event of bankruptcy, insolvency, or entry into resolution or administration of the investment firm.</w:t>
      </w:r>
    </w:p>
    <w:p w14:paraId="55FBE39E" w14:textId="3477E96E" w:rsidR="00EE4B2D" w:rsidRPr="00EE4B2D" w:rsidRDefault="008B2924" w:rsidP="008B2924">
      <w:pPr>
        <w:ind w:left="0"/>
        <w:rPr>
          <w:rFonts w:cstheme="minorHAnsi"/>
          <w:lang w:val="da-DK"/>
        </w:rPr>
      </w:pPr>
      <w:r w:rsidRPr="008B2924">
        <w:rPr>
          <w:rFonts w:cstheme="minorHAnsi"/>
          <w:lang w:val="da-DK"/>
        </w:rPr>
        <w:t>CMH is the amount of client money that an investment firm holds or controls. It excludes client money that is deposited on a (custodian) bank account in the name of the client itself, where the investment firm has access to these client funds via a third-party mandate (on a segregated or nonsegregated basis)</w:t>
      </w:r>
      <w:r w:rsidR="00EE4B2D" w:rsidRPr="00EE4B2D">
        <w:rPr>
          <w:rFonts w:cstheme="minorHAnsi"/>
          <w:lang w:val="da-DK"/>
        </w:rPr>
        <w:t xml:space="preserve">. </w:t>
      </w:r>
    </w:p>
    <w:p w14:paraId="3B580355" w14:textId="77777777" w:rsidR="00EE4B2D" w:rsidRPr="00EE4B2D" w:rsidRDefault="00EE4B2D" w:rsidP="00EE4B2D">
      <w:pPr>
        <w:ind w:left="0"/>
        <w:rPr>
          <w:rFonts w:cstheme="minorHAnsi"/>
          <w:b/>
          <w:bCs/>
          <w:lang w:val="da-DK"/>
        </w:rPr>
      </w:pPr>
      <w:r w:rsidRPr="00EE4B2D">
        <w:rPr>
          <w:rFonts w:cstheme="minorHAnsi"/>
          <w:b/>
          <w:bCs/>
          <w:lang w:val="da-DK"/>
        </w:rPr>
        <w:t>Calculation</w:t>
      </w:r>
    </w:p>
    <w:p w14:paraId="5E8C8226" w14:textId="6BDCB3B1" w:rsidR="008B2924" w:rsidRPr="008B2924" w:rsidRDefault="00EE4B2D" w:rsidP="008B2924">
      <w:pPr>
        <w:ind w:left="0"/>
        <w:rPr>
          <w:rFonts w:cstheme="minorHAnsi"/>
          <w:lang w:val="da-DK"/>
        </w:rPr>
      </w:pPr>
      <w:r w:rsidRPr="00EE4B2D">
        <w:rPr>
          <w:rFonts w:cstheme="minorHAnsi"/>
          <w:lang w:val="da-DK"/>
        </w:rPr>
        <w:t>CMH</w:t>
      </w:r>
      <w:r w:rsidR="008B2924" w:rsidRPr="008B2924">
        <w:t xml:space="preserve"> </w:t>
      </w:r>
      <w:r w:rsidR="008B2924">
        <w:t>s</w:t>
      </w:r>
      <w:r w:rsidR="008B2924" w:rsidRPr="008B2924">
        <w:rPr>
          <w:rFonts w:cstheme="minorHAnsi"/>
          <w:lang w:val="da-DK"/>
        </w:rPr>
        <w:t>hall be the rolling average of the value of total daily client money held, measured at the end of each business day for the previous 9 months, excluding the 3 most recent months.</w:t>
      </w:r>
    </w:p>
    <w:p w14:paraId="4F69CCFC" w14:textId="77777777" w:rsidR="008B2924" w:rsidRPr="008B2924" w:rsidRDefault="008B2924" w:rsidP="008B2924">
      <w:pPr>
        <w:ind w:left="0"/>
        <w:rPr>
          <w:rFonts w:cstheme="minorHAnsi"/>
          <w:lang w:val="da-DK"/>
        </w:rPr>
      </w:pPr>
      <w:r w:rsidRPr="008B2924">
        <w:rPr>
          <w:rFonts w:cstheme="minorHAnsi"/>
          <w:lang w:val="da-DK"/>
        </w:rPr>
        <w:lastRenderedPageBreak/>
        <w:t>K-CMH shall be the arithmetic mean of the daily values from the remaining 6 months multiplied by the relevant coefficient (0.4% and for segregated accounts and 0.5% for non- segregated accounts).</w:t>
      </w:r>
    </w:p>
    <w:p w14:paraId="664A450F" w14:textId="28E9CFF1" w:rsidR="00E554B7" w:rsidRPr="00512FFC" w:rsidRDefault="008B2924" w:rsidP="008B2924">
      <w:pPr>
        <w:ind w:left="0"/>
      </w:pPr>
      <w:r w:rsidRPr="008B2924">
        <w:rPr>
          <w:rFonts w:cstheme="minorHAnsi"/>
          <w:lang w:val="da-DK"/>
        </w:rPr>
        <w:t>As at 31 December 2023 the Group’s CMH was £175,497 and the respective K-CMH was £702</w:t>
      </w:r>
      <w:r w:rsidR="000B615D" w:rsidRPr="4885A249">
        <w:t>.</w:t>
      </w:r>
    </w:p>
    <w:p w14:paraId="5A9DFD86" w14:textId="5C62AAF1" w:rsidR="00E554B7" w:rsidRPr="00E554B7" w:rsidRDefault="00C44535" w:rsidP="00392620">
      <w:pPr>
        <w:pStyle w:val="Heading2"/>
        <w:numPr>
          <w:ilvl w:val="1"/>
          <w:numId w:val="2"/>
        </w:numPr>
        <w:spacing w:before="240" w:after="100" w:afterAutospacing="1"/>
        <w:rPr>
          <w:lang w:val="en-US"/>
        </w:rPr>
      </w:pPr>
      <w:bookmarkStart w:id="62" w:name="_Toc65855261"/>
      <w:bookmarkStart w:id="63" w:name="_Toc139016582"/>
      <w:r w:rsidRPr="00E554B7">
        <w:rPr>
          <w:rFonts w:asciiTheme="minorHAnsi" w:hAnsiTheme="minorHAnsi" w:cstheme="minorBidi"/>
        </w:rPr>
        <w:t>Overall Capital Adequacy Position</w:t>
      </w:r>
      <w:bookmarkEnd w:id="62"/>
      <w:bookmarkEnd w:id="63"/>
      <w:r w:rsidRPr="00E554B7">
        <w:rPr>
          <w:rFonts w:asciiTheme="minorHAnsi" w:hAnsiTheme="minorHAnsi" w:cstheme="minorBidi"/>
        </w:rPr>
        <w:t xml:space="preserve"> </w:t>
      </w:r>
    </w:p>
    <w:p w14:paraId="1C708BB1" w14:textId="421B6DB6" w:rsidR="00E554B7" w:rsidRPr="00496FC6" w:rsidRDefault="00C44535" w:rsidP="00C44535">
      <w:pPr>
        <w:spacing w:before="240"/>
        <w:ind w:left="0"/>
        <w:rPr>
          <w:lang w:val="en-US"/>
        </w:rPr>
      </w:pPr>
      <w:r w:rsidRPr="7F3F34CE">
        <w:rPr>
          <w:lang w:val="en-US"/>
        </w:rPr>
        <w:t xml:space="preserve">According to MIFIPDRU 3.2.2, </w:t>
      </w:r>
      <w:r w:rsidR="2269EBFE" w:rsidRPr="7F3F34CE">
        <w:rPr>
          <w:lang w:val="en-US"/>
        </w:rPr>
        <w:t>i</w:t>
      </w:r>
      <w:r w:rsidRPr="7F3F34CE">
        <w:rPr>
          <w:lang w:val="en-US"/>
        </w:rPr>
        <w:t>nvestment firms</w:t>
      </w:r>
      <w:r w:rsidR="008D3743">
        <w:rPr>
          <w:lang w:val="en-US"/>
        </w:rPr>
        <w:t xml:space="preserve"> are required to</w:t>
      </w:r>
      <w:r w:rsidRPr="7F3F34CE">
        <w:rPr>
          <w:lang w:val="en-US"/>
        </w:rPr>
        <w:t xml:space="preserve"> have own funds consisting of the sum of their Common Equity Tier 1 capital, Additional Tier 1 </w:t>
      </w:r>
      <w:proofErr w:type="gramStart"/>
      <w:r w:rsidRPr="7F3F34CE">
        <w:rPr>
          <w:lang w:val="en-US"/>
        </w:rPr>
        <w:t>capital</w:t>
      </w:r>
      <w:proofErr w:type="gramEnd"/>
      <w:r w:rsidRPr="7F3F34CE">
        <w:rPr>
          <w:lang w:val="en-US"/>
        </w:rPr>
        <w:t xml:space="preserve"> and Tier 2 capital, and shall meet all the following conditions at all times:</w:t>
      </w:r>
    </w:p>
    <w:p w14:paraId="7011BA48" w14:textId="77777777" w:rsidR="00C44535" w:rsidRPr="00496FC6" w:rsidRDefault="003A618F" w:rsidP="00C44535">
      <w:pPr>
        <w:spacing w:line="276" w:lineRule="auto"/>
        <w:rPr>
          <w:rFonts w:eastAsiaTheme="minorEastAsia" w:cstheme="minorHAnsi"/>
          <w:b/>
          <w:bCs/>
          <w:sz w:val="20"/>
          <w:szCs w:val="20"/>
          <w:lang w:val="en-US"/>
        </w:rPr>
      </w:pPr>
      <m:oMathPara>
        <m:oMath>
          <m:f>
            <m:fPr>
              <m:ctrlPr>
                <w:rPr>
                  <w:rFonts w:ascii="Cambria Math" w:hAnsi="Cambria Math" w:cstheme="minorHAnsi"/>
                  <w:b/>
                  <w:bCs/>
                  <w:i/>
                  <w:sz w:val="20"/>
                  <w:szCs w:val="20"/>
                  <w:lang w:val="en-US"/>
                </w:rPr>
              </m:ctrlPr>
            </m:fPr>
            <m:num>
              <m:r>
                <m:rPr>
                  <m:sty m:val="bi"/>
                </m:rPr>
                <w:rPr>
                  <w:rFonts w:ascii="Cambria Math" w:hAnsi="Cambria Math" w:cstheme="minorHAnsi"/>
                  <w:sz w:val="20"/>
                  <w:szCs w:val="20"/>
                  <w:lang w:val="en-US"/>
                </w:rPr>
                <m:t>Common Equity Tier 1 Capital</m:t>
              </m:r>
            </m:num>
            <m:den>
              <m:r>
                <m:rPr>
                  <m:sty m:val="bi"/>
                </m:rPr>
                <w:rPr>
                  <w:rFonts w:ascii="Cambria Math" w:hAnsi="Cambria Math" w:cstheme="minorHAnsi"/>
                  <w:sz w:val="20"/>
                  <w:szCs w:val="20"/>
                  <w:lang w:val="en-US"/>
                </w:rPr>
                <m:t>D</m:t>
              </m:r>
            </m:den>
          </m:f>
          <m:r>
            <m:rPr>
              <m:sty m:val="bi"/>
            </m:rPr>
            <w:rPr>
              <w:rFonts w:ascii="Cambria Math" w:hAnsi="Cambria Math" w:cstheme="minorHAnsi"/>
              <w:sz w:val="20"/>
              <w:szCs w:val="20"/>
              <w:lang w:val="en-US"/>
            </w:rPr>
            <m:t>≥56%</m:t>
          </m:r>
        </m:oMath>
      </m:oMathPara>
    </w:p>
    <w:p w14:paraId="73244ECB" w14:textId="77777777" w:rsidR="00C44535" w:rsidRPr="00496FC6" w:rsidRDefault="003A618F" w:rsidP="00C44535">
      <w:pPr>
        <w:spacing w:line="276" w:lineRule="auto"/>
        <w:rPr>
          <w:rFonts w:eastAsiaTheme="minorEastAsia" w:cstheme="minorHAnsi"/>
          <w:b/>
          <w:bCs/>
          <w:sz w:val="20"/>
          <w:szCs w:val="20"/>
          <w:lang w:val="en-US"/>
        </w:rPr>
      </w:pPr>
      <m:oMathPara>
        <m:oMath>
          <m:f>
            <m:fPr>
              <m:ctrlPr>
                <w:rPr>
                  <w:rFonts w:ascii="Cambria Math" w:hAnsi="Cambria Math" w:cstheme="minorHAnsi"/>
                  <w:b/>
                  <w:bCs/>
                  <w:i/>
                  <w:sz w:val="20"/>
                  <w:szCs w:val="20"/>
                  <w:lang w:val="en-US"/>
                </w:rPr>
              </m:ctrlPr>
            </m:fPr>
            <m:num>
              <m:r>
                <m:rPr>
                  <m:sty m:val="bi"/>
                </m:rPr>
                <w:rPr>
                  <w:rFonts w:ascii="Cambria Math" w:hAnsi="Cambria Math" w:cstheme="minorHAnsi"/>
                  <w:sz w:val="20"/>
                  <w:szCs w:val="20"/>
                  <w:lang w:val="en-US"/>
                </w:rPr>
                <m:t>Common Equity Tier 1 Capital+Additional Tier 1 Capital</m:t>
              </m:r>
            </m:num>
            <m:den>
              <m:r>
                <m:rPr>
                  <m:sty m:val="bi"/>
                </m:rPr>
                <w:rPr>
                  <w:rFonts w:ascii="Cambria Math" w:hAnsi="Cambria Math" w:cstheme="minorHAnsi"/>
                  <w:sz w:val="20"/>
                  <w:szCs w:val="20"/>
                  <w:lang w:val="en-US"/>
                </w:rPr>
                <m:t>D</m:t>
              </m:r>
            </m:den>
          </m:f>
          <m:r>
            <m:rPr>
              <m:sty m:val="bi"/>
            </m:rPr>
            <w:rPr>
              <w:rFonts w:ascii="Cambria Math" w:hAnsi="Cambria Math" w:cstheme="minorHAnsi"/>
              <w:sz w:val="20"/>
              <w:szCs w:val="20"/>
              <w:lang w:val="en-US"/>
            </w:rPr>
            <m:t>≥75%</m:t>
          </m:r>
        </m:oMath>
      </m:oMathPara>
    </w:p>
    <w:p w14:paraId="52EFBEA7" w14:textId="77777777" w:rsidR="00C44535" w:rsidRPr="00496FC6" w:rsidRDefault="003A618F" w:rsidP="00C44535">
      <w:pPr>
        <w:spacing w:line="276" w:lineRule="auto"/>
        <w:rPr>
          <w:rFonts w:eastAsiaTheme="minorEastAsia" w:cstheme="minorHAnsi"/>
          <w:b/>
          <w:bCs/>
          <w:sz w:val="20"/>
          <w:szCs w:val="20"/>
          <w:lang w:val="en-US"/>
        </w:rPr>
      </w:pPr>
      <m:oMathPara>
        <m:oMath>
          <m:f>
            <m:fPr>
              <m:ctrlPr>
                <w:rPr>
                  <w:rFonts w:ascii="Cambria Math" w:hAnsi="Cambria Math" w:cstheme="minorHAnsi"/>
                  <w:b/>
                  <w:bCs/>
                  <w:i/>
                  <w:sz w:val="20"/>
                  <w:szCs w:val="20"/>
                  <w:lang w:val="en-US"/>
                </w:rPr>
              </m:ctrlPr>
            </m:fPr>
            <m:num>
              <m:r>
                <m:rPr>
                  <m:sty m:val="bi"/>
                </m:rPr>
                <w:rPr>
                  <w:rFonts w:ascii="Cambria Math" w:hAnsi="Cambria Math" w:cstheme="minorHAnsi"/>
                  <w:sz w:val="20"/>
                  <w:szCs w:val="20"/>
                  <w:lang w:val="en-US"/>
                </w:rPr>
                <m:t>Common Equity Tier 1 Capital+Additional Tier 1 Capital+Tier 2 Capital</m:t>
              </m:r>
            </m:num>
            <m:den>
              <m:r>
                <m:rPr>
                  <m:sty m:val="bi"/>
                </m:rPr>
                <w:rPr>
                  <w:rFonts w:ascii="Cambria Math" w:hAnsi="Cambria Math" w:cstheme="minorHAnsi"/>
                  <w:sz w:val="20"/>
                  <w:szCs w:val="20"/>
                  <w:lang w:val="en-US"/>
                </w:rPr>
                <m:t>D</m:t>
              </m:r>
            </m:den>
          </m:f>
          <m:r>
            <m:rPr>
              <m:sty m:val="bi"/>
            </m:rPr>
            <w:rPr>
              <w:rFonts w:ascii="Cambria Math" w:hAnsi="Cambria Math" w:cstheme="minorHAnsi"/>
              <w:sz w:val="20"/>
              <w:szCs w:val="20"/>
              <w:lang w:val="en-US"/>
            </w:rPr>
            <m:t>≥100%</m:t>
          </m:r>
        </m:oMath>
      </m:oMathPara>
    </w:p>
    <w:p w14:paraId="7579E858" w14:textId="2C89CCF3" w:rsidR="00C44535" w:rsidRPr="00496FC6" w:rsidRDefault="00C44535" w:rsidP="00C44535">
      <w:pPr>
        <w:ind w:left="0"/>
        <w:rPr>
          <w:rFonts w:eastAsiaTheme="minorEastAsia" w:cstheme="minorHAnsi"/>
          <w:lang w:val="en-US"/>
        </w:rPr>
      </w:pPr>
      <w:r w:rsidRPr="00496FC6">
        <w:rPr>
          <w:rFonts w:eastAsiaTheme="minorEastAsia" w:cstheme="minorHAnsi"/>
          <w:lang w:val="en-US"/>
        </w:rPr>
        <w:t xml:space="preserve">where D is the </w:t>
      </w:r>
      <w:r w:rsidR="00560B47">
        <w:rPr>
          <w:rFonts w:eastAsiaTheme="minorEastAsia" w:cstheme="minorHAnsi"/>
          <w:lang w:val="en-US"/>
        </w:rPr>
        <w:t>Group</w:t>
      </w:r>
      <w:r w:rsidRPr="00496FC6">
        <w:rPr>
          <w:rFonts w:eastAsiaTheme="minorEastAsia" w:cstheme="minorHAnsi"/>
          <w:lang w:val="en-US"/>
        </w:rPr>
        <w:t xml:space="preserve">’s own funds requirement calculated in </w:t>
      </w:r>
      <w:r w:rsidR="00030EDB">
        <w:rPr>
          <w:rFonts w:eastAsiaTheme="minorEastAsia" w:cstheme="minorHAnsi"/>
          <w:lang w:val="en-US"/>
        </w:rPr>
        <w:t xml:space="preserve">accordance </w:t>
      </w:r>
      <w:r w:rsidRPr="00496FC6">
        <w:rPr>
          <w:rFonts w:eastAsiaTheme="minorEastAsia" w:cstheme="minorHAnsi"/>
          <w:lang w:val="en-US"/>
        </w:rPr>
        <w:t>with MIFIDPRU 4.3.</w:t>
      </w:r>
    </w:p>
    <w:p w14:paraId="52FB2E53" w14:textId="73E3A92B" w:rsidR="00C44535" w:rsidRPr="00496FC6" w:rsidRDefault="00C44535" w:rsidP="00C44535">
      <w:pPr>
        <w:ind w:left="0"/>
        <w:rPr>
          <w:rFonts w:cstheme="minorHAnsi"/>
        </w:rPr>
      </w:pPr>
      <w:r w:rsidRPr="00496FC6">
        <w:rPr>
          <w:rFonts w:cstheme="minorHAnsi"/>
        </w:rPr>
        <w:t xml:space="preserve">The </w:t>
      </w:r>
      <w:r w:rsidR="00320C69">
        <w:rPr>
          <w:rFonts w:cstheme="minorHAnsi"/>
        </w:rPr>
        <w:t>Group</w:t>
      </w:r>
      <w:r w:rsidRPr="00496FC6">
        <w:rPr>
          <w:rFonts w:cstheme="minorHAnsi"/>
        </w:rPr>
        <w:t xml:space="preserve">’s own funds, own funds requirement and capital ratio reported as </w:t>
      </w:r>
      <w:proofErr w:type="gramStart"/>
      <w:r w:rsidRPr="00496FC6">
        <w:rPr>
          <w:rFonts w:cstheme="minorHAnsi"/>
        </w:rPr>
        <w:t>at</w:t>
      </w:r>
      <w:proofErr w:type="gramEnd"/>
      <w:r w:rsidRPr="00496FC6">
        <w:rPr>
          <w:rFonts w:cstheme="minorHAnsi"/>
        </w:rPr>
        <w:t xml:space="preserve"> </w:t>
      </w:r>
      <w:r w:rsidR="00744E32">
        <w:rPr>
          <w:rFonts w:cstheme="minorHAnsi"/>
        </w:rPr>
        <w:t>31 December 202</w:t>
      </w:r>
      <w:r w:rsidR="0066439F">
        <w:rPr>
          <w:rFonts w:cstheme="minorHAnsi"/>
        </w:rPr>
        <w:t>3</w:t>
      </w:r>
      <w:r w:rsidRPr="00496FC6">
        <w:rPr>
          <w:rFonts w:cstheme="minorHAnsi"/>
        </w:rPr>
        <w:t>, were as follows:</w:t>
      </w:r>
    </w:p>
    <w:p w14:paraId="092D0EFB" w14:textId="08FDEB16" w:rsidR="00C44535" w:rsidRPr="00496FC6" w:rsidRDefault="00C44535" w:rsidP="00C44535">
      <w:pPr>
        <w:pStyle w:val="Caption"/>
        <w:keepNext/>
        <w:spacing w:after="0"/>
        <w:rPr>
          <w:b/>
          <w:color w:val="auto"/>
          <w:sz w:val="22"/>
          <w:szCs w:val="22"/>
        </w:rPr>
      </w:pPr>
      <w:bookmarkStart w:id="64" w:name="_Toc93044814"/>
      <w:bookmarkStart w:id="65" w:name="_Toc119407005"/>
      <w:r w:rsidRPr="7F3F34CE">
        <w:rPr>
          <w:b/>
          <w:color w:val="auto"/>
          <w:sz w:val="22"/>
          <w:szCs w:val="22"/>
        </w:rPr>
        <w:t xml:space="preserve">Table </w:t>
      </w:r>
      <w:r w:rsidRPr="7F3F34CE">
        <w:rPr>
          <w:b/>
          <w:color w:val="auto"/>
          <w:sz w:val="22"/>
          <w:szCs w:val="22"/>
        </w:rPr>
        <w:fldChar w:fldCharType="begin"/>
      </w:r>
      <w:r w:rsidRPr="7F3F34CE">
        <w:rPr>
          <w:b/>
          <w:color w:val="auto"/>
          <w:sz w:val="22"/>
          <w:szCs w:val="22"/>
        </w:rPr>
        <w:instrText xml:space="preserve"> SEQ Table \* ARABIC </w:instrText>
      </w:r>
      <w:r w:rsidRPr="7F3F34CE">
        <w:rPr>
          <w:b/>
          <w:color w:val="auto"/>
          <w:sz w:val="22"/>
          <w:szCs w:val="22"/>
        </w:rPr>
        <w:fldChar w:fldCharType="separate"/>
      </w:r>
      <w:r w:rsidR="005C7385">
        <w:rPr>
          <w:b/>
          <w:noProof/>
          <w:color w:val="auto"/>
          <w:sz w:val="22"/>
          <w:szCs w:val="22"/>
        </w:rPr>
        <w:t>7</w:t>
      </w:r>
      <w:r w:rsidRPr="7F3F34CE">
        <w:rPr>
          <w:b/>
          <w:color w:val="auto"/>
          <w:sz w:val="22"/>
          <w:szCs w:val="22"/>
        </w:rPr>
        <w:fldChar w:fldCharType="end"/>
      </w:r>
      <w:r w:rsidRPr="7F3F34CE">
        <w:rPr>
          <w:b/>
          <w:color w:val="auto"/>
          <w:sz w:val="22"/>
          <w:szCs w:val="22"/>
        </w:rPr>
        <w:t xml:space="preserve">: </w:t>
      </w:r>
      <w:bookmarkEnd w:id="64"/>
      <w:bookmarkEnd w:id="65"/>
      <w:r w:rsidRPr="7F3F34CE">
        <w:rPr>
          <w:b/>
          <w:color w:val="auto"/>
          <w:sz w:val="22"/>
          <w:szCs w:val="22"/>
        </w:rPr>
        <w:t>Capital Adequacy Analysis</w:t>
      </w:r>
    </w:p>
    <w:tbl>
      <w:tblPr>
        <w:tblStyle w:val="TableGrid"/>
        <w:tblW w:w="9209" w:type="dxa"/>
        <w:tblLook w:val="04A0" w:firstRow="1" w:lastRow="0" w:firstColumn="1" w:lastColumn="0" w:noHBand="0" w:noVBand="1"/>
      </w:tblPr>
      <w:tblGrid>
        <w:gridCol w:w="7083"/>
        <w:gridCol w:w="2126"/>
      </w:tblGrid>
      <w:tr w:rsidR="00C44535" w:rsidRPr="00496FC6" w14:paraId="2605541E" w14:textId="77777777" w:rsidTr="00C44535">
        <w:tc>
          <w:tcPr>
            <w:tcW w:w="7083" w:type="dxa"/>
            <w:shd w:val="clear" w:color="auto" w:fill="C00000"/>
          </w:tcPr>
          <w:p w14:paraId="20A46B15" w14:textId="77777777" w:rsidR="00C44535" w:rsidRPr="00496FC6" w:rsidRDefault="00C44535" w:rsidP="00C44535">
            <w:pPr>
              <w:spacing w:after="0"/>
              <w:ind w:left="0"/>
              <w:rPr>
                <w:rFonts w:cstheme="minorHAnsi"/>
                <w:b/>
                <w:bCs/>
                <w:color w:val="FFFFFF" w:themeColor="background1"/>
                <w:lang w:val="en-US"/>
              </w:rPr>
            </w:pPr>
            <w:r w:rsidRPr="00496FC6">
              <w:rPr>
                <w:rFonts w:cstheme="minorHAnsi"/>
                <w:b/>
                <w:bCs/>
                <w:color w:val="FFFFFF" w:themeColor="background1"/>
                <w:lang w:val="en-US"/>
              </w:rPr>
              <w:t>OWN FUNDS COMPOSITION</w:t>
            </w:r>
          </w:p>
        </w:tc>
        <w:tc>
          <w:tcPr>
            <w:tcW w:w="2126" w:type="dxa"/>
            <w:shd w:val="clear" w:color="auto" w:fill="C00000"/>
          </w:tcPr>
          <w:p w14:paraId="5EACCB6F" w14:textId="37B4757A" w:rsidR="00C44535" w:rsidRPr="00496FC6" w:rsidRDefault="00B423A3" w:rsidP="00C44535">
            <w:pPr>
              <w:spacing w:after="0"/>
              <w:ind w:left="0"/>
              <w:jc w:val="center"/>
              <w:rPr>
                <w:rFonts w:cstheme="minorHAnsi"/>
                <w:b/>
                <w:bCs/>
                <w:color w:val="FFFFFF" w:themeColor="background1"/>
                <w:lang w:val="en-US"/>
              </w:rPr>
            </w:pPr>
            <w:r w:rsidRPr="00496FC6">
              <w:rPr>
                <w:rFonts w:cstheme="minorHAnsi"/>
                <w:b/>
                <w:bCs/>
                <w:color w:val="FFFFFF" w:themeColor="background1"/>
              </w:rPr>
              <w:t>£</w:t>
            </w:r>
            <w:r w:rsidR="00C44535" w:rsidRPr="00496FC6">
              <w:rPr>
                <w:rFonts w:cstheme="minorHAnsi"/>
                <w:b/>
                <w:bCs/>
                <w:color w:val="FFFFFF" w:themeColor="background1"/>
              </w:rPr>
              <w:t>’000</w:t>
            </w:r>
          </w:p>
        </w:tc>
      </w:tr>
      <w:tr w:rsidR="00C44535" w:rsidRPr="00496FC6" w14:paraId="306286F1" w14:textId="77777777" w:rsidTr="006E58D7">
        <w:tc>
          <w:tcPr>
            <w:tcW w:w="7083" w:type="dxa"/>
          </w:tcPr>
          <w:p w14:paraId="3578C0DD" w14:textId="77777777" w:rsidR="00C44535" w:rsidRPr="00496FC6" w:rsidRDefault="00C44535" w:rsidP="00C44535">
            <w:pPr>
              <w:spacing w:after="0"/>
              <w:ind w:left="0"/>
              <w:rPr>
                <w:rFonts w:cstheme="minorHAnsi"/>
                <w:b/>
                <w:bCs/>
                <w:lang w:val="en-US"/>
              </w:rPr>
            </w:pPr>
            <w:r w:rsidRPr="00496FC6">
              <w:rPr>
                <w:rFonts w:cstheme="minorHAnsi"/>
                <w:b/>
                <w:bCs/>
              </w:rPr>
              <w:t>Total Own Funds</w:t>
            </w:r>
          </w:p>
        </w:tc>
        <w:tc>
          <w:tcPr>
            <w:tcW w:w="2126" w:type="dxa"/>
          </w:tcPr>
          <w:p w14:paraId="748BC070" w14:textId="7D2C6492" w:rsidR="00C44535" w:rsidRPr="00496FC6" w:rsidRDefault="00D97676" w:rsidP="00C44535">
            <w:pPr>
              <w:spacing w:after="0"/>
              <w:ind w:left="0"/>
              <w:jc w:val="center"/>
              <w:rPr>
                <w:rFonts w:cstheme="minorHAnsi"/>
                <w:b/>
                <w:bCs/>
                <w:lang w:val="en-US"/>
              </w:rPr>
            </w:pPr>
            <w:r>
              <w:rPr>
                <w:rFonts w:cstheme="minorHAnsi"/>
                <w:b/>
                <w:bCs/>
                <w:lang w:val="en-US"/>
              </w:rPr>
              <w:t>3</w:t>
            </w:r>
            <w:r w:rsidR="008B2924">
              <w:rPr>
                <w:rFonts w:cstheme="minorHAnsi"/>
                <w:b/>
                <w:bCs/>
                <w:lang w:val="en-US"/>
              </w:rPr>
              <w:t>3,012</w:t>
            </w:r>
          </w:p>
        </w:tc>
      </w:tr>
      <w:tr w:rsidR="00C44535" w:rsidRPr="00496FC6" w14:paraId="20550BC2" w14:textId="77777777" w:rsidTr="00C44535">
        <w:tc>
          <w:tcPr>
            <w:tcW w:w="7083" w:type="dxa"/>
            <w:shd w:val="clear" w:color="auto" w:fill="C00000"/>
          </w:tcPr>
          <w:p w14:paraId="5F7E4CAC" w14:textId="77777777" w:rsidR="00C44535" w:rsidRPr="00496FC6" w:rsidRDefault="00C44535" w:rsidP="00C44535">
            <w:pPr>
              <w:spacing w:after="0"/>
              <w:ind w:left="0"/>
              <w:rPr>
                <w:rFonts w:cstheme="minorHAnsi"/>
                <w:b/>
                <w:bCs/>
                <w:color w:val="FFFFFF" w:themeColor="background1"/>
                <w:lang w:val="en-US"/>
              </w:rPr>
            </w:pPr>
            <w:r w:rsidRPr="00496FC6">
              <w:rPr>
                <w:rFonts w:cstheme="minorHAnsi"/>
                <w:b/>
                <w:bCs/>
                <w:color w:val="FFFFFF" w:themeColor="background1"/>
              </w:rPr>
              <w:t>OWN FUNDS REQUIREMENTS</w:t>
            </w:r>
          </w:p>
        </w:tc>
        <w:tc>
          <w:tcPr>
            <w:tcW w:w="2126" w:type="dxa"/>
            <w:shd w:val="clear" w:color="auto" w:fill="C00000"/>
          </w:tcPr>
          <w:p w14:paraId="0B503D87" w14:textId="23A00A3A" w:rsidR="00C44535" w:rsidRPr="00496FC6" w:rsidRDefault="00B423A3" w:rsidP="00C44535">
            <w:pPr>
              <w:spacing w:after="0"/>
              <w:ind w:left="0"/>
              <w:jc w:val="center"/>
              <w:rPr>
                <w:rFonts w:cstheme="minorHAnsi"/>
                <w:b/>
                <w:bCs/>
                <w:color w:val="FFFFFF" w:themeColor="background1"/>
                <w:lang w:val="en-US"/>
              </w:rPr>
            </w:pPr>
            <w:r w:rsidRPr="00496FC6">
              <w:rPr>
                <w:rFonts w:cstheme="minorHAnsi"/>
                <w:b/>
                <w:bCs/>
                <w:color w:val="FFFFFF" w:themeColor="background1"/>
              </w:rPr>
              <w:t>£</w:t>
            </w:r>
            <w:r w:rsidR="00C44535" w:rsidRPr="00496FC6">
              <w:rPr>
                <w:rFonts w:cstheme="minorHAnsi"/>
                <w:b/>
                <w:bCs/>
                <w:color w:val="FFFFFF" w:themeColor="background1"/>
              </w:rPr>
              <w:t>’000</w:t>
            </w:r>
          </w:p>
        </w:tc>
      </w:tr>
      <w:tr w:rsidR="00C44535" w:rsidRPr="005220F7" w14:paraId="0B08695E" w14:textId="77777777" w:rsidTr="006E58D7">
        <w:tc>
          <w:tcPr>
            <w:tcW w:w="7083" w:type="dxa"/>
          </w:tcPr>
          <w:p w14:paraId="79B0CF4A" w14:textId="79CBE5D2" w:rsidR="00C44535" w:rsidRPr="00A73318" w:rsidRDefault="00C44535" w:rsidP="00C44535">
            <w:pPr>
              <w:spacing w:after="0"/>
              <w:ind w:left="0"/>
              <w:rPr>
                <w:rFonts w:cstheme="minorHAnsi"/>
                <w:i/>
                <w:lang w:val="fr-FR"/>
              </w:rPr>
            </w:pPr>
            <w:r w:rsidRPr="00A73318">
              <w:rPr>
                <w:rFonts w:cstheme="minorHAnsi"/>
                <w:i/>
                <w:lang w:val="fr-FR"/>
              </w:rPr>
              <w:t xml:space="preserve">Permanent Minimum Capital </w:t>
            </w:r>
            <w:proofErr w:type="spellStart"/>
            <w:r w:rsidRPr="00A73318">
              <w:rPr>
                <w:rFonts w:cstheme="minorHAnsi"/>
                <w:i/>
                <w:lang w:val="fr-FR"/>
              </w:rPr>
              <w:t>Requirement</w:t>
            </w:r>
            <w:proofErr w:type="spellEnd"/>
            <w:r w:rsidRPr="00A73318">
              <w:rPr>
                <w:rFonts w:cstheme="minorHAnsi"/>
                <w:i/>
                <w:lang w:val="fr-FR"/>
              </w:rPr>
              <w:t xml:space="preserve"> </w:t>
            </w:r>
          </w:p>
        </w:tc>
        <w:tc>
          <w:tcPr>
            <w:tcW w:w="2126" w:type="dxa"/>
          </w:tcPr>
          <w:p w14:paraId="0F0D4478" w14:textId="78883BF7" w:rsidR="00C44535" w:rsidRPr="00A73318" w:rsidRDefault="00BB7E8C" w:rsidP="00C44535">
            <w:pPr>
              <w:spacing w:after="0"/>
              <w:ind w:left="0"/>
              <w:jc w:val="center"/>
              <w:rPr>
                <w:rFonts w:cstheme="minorHAnsi"/>
                <w:i/>
                <w:lang w:val="fr-FR"/>
              </w:rPr>
            </w:pPr>
            <w:r>
              <w:rPr>
                <w:rFonts w:cstheme="minorHAnsi"/>
                <w:i/>
                <w:iCs/>
                <w:lang w:val="fr-FR"/>
              </w:rPr>
              <w:t>75</w:t>
            </w:r>
          </w:p>
        </w:tc>
      </w:tr>
      <w:tr w:rsidR="00C44535" w:rsidRPr="00496FC6" w14:paraId="2F9D8BFC" w14:textId="77777777" w:rsidTr="006E58D7">
        <w:tc>
          <w:tcPr>
            <w:tcW w:w="7083" w:type="dxa"/>
          </w:tcPr>
          <w:p w14:paraId="5CBEF059" w14:textId="14C4009D" w:rsidR="00C44535" w:rsidRPr="00496FC6" w:rsidRDefault="00C44535" w:rsidP="00C44535">
            <w:pPr>
              <w:spacing w:after="0"/>
              <w:ind w:left="0"/>
              <w:rPr>
                <w:rFonts w:cstheme="minorHAnsi"/>
                <w:i/>
                <w:iCs/>
                <w:lang w:val="en-US"/>
              </w:rPr>
            </w:pPr>
            <w:r w:rsidRPr="00496FC6">
              <w:rPr>
                <w:rFonts w:cstheme="minorHAnsi"/>
                <w:i/>
                <w:iCs/>
              </w:rPr>
              <w:t xml:space="preserve">Fixed Overheads Requirement </w:t>
            </w:r>
          </w:p>
        </w:tc>
        <w:tc>
          <w:tcPr>
            <w:tcW w:w="2126" w:type="dxa"/>
          </w:tcPr>
          <w:p w14:paraId="24175ED3" w14:textId="658F0409" w:rsidR="00C44535" w:rsidRPr="00496FC6" w:rsidRDefault="00D97676" w:rsidP="00C44535">
            <w:pPr>
              <w:spacing w:after="0"/>
              <w:ind w:left="0"/>
              <w:jc w:val="center"/>
              <w:rPr>
                <w:rFonts w:cstheme="minorHAnsi"/>
                <w:i/>
                <w:iCs/>
                <w:lang w:val="en-US"/>
              </w:rPr>
            </w:pPr>
            <w:r>
              <w:rPr>
                <w:rFonts w:cstheme="minorHAnsi"/>
                <w:i/>
                <w:iCs/>
                <w:lang w:val="en-US"/>
              </w:rPr>
              <w:t>17,</w:t>
            </w:r>
            <w:r w:rsidR="0066439F">
              <w:rPr>
                <w:rFonts w:cstheme="minorHAnsi"/>
                <w:i/>
                <w:iCs/>
                <w:lang w:val="en-US"/>
              </w:rPr>
              <w:t>763</w:t>
            </w:r>
          </w:p>
        </w:tc>
      </w:tr>
      <w:tr w:rsidR="00C44535" w:rsidRPr="00496FC6" w14:paraId="434C61FA" w14:textId="77777777" w:rsidTr="006E58D7">
        <w:tc>
          <w:tcPr>
            <w:tcW w:w="7083" w:type="dxa"/>
          </w:tcPr>
          <w:p w14:paraId="4A101963" w14:textId="3E584C92" w:rsidR="00C44535" w:rsidRPr="00496FC6" w:rsidRDefault="00C44535" w:rsidP="00C44535">
            <w:pPr>
              <w:spacing w:after="0"/>
              <w:ind w:left="0"/>
              <w:rPr>
                <w:rFonts w:cstheme="minorHAnsi"/>
                <w:i/>
                <w:iCs/>
                <w:lang w:val="en-US"/>
              </w:rPr>
            </w:pPr>
            <w:r w:rsidRPr="00496FC6">
              <w:rPr>
                <w:rFonts w:cstheme="minorHAnsi"/>
                <w:i/>
                <w:iCs/>
              </w:rPr>
              <w:t xml:space="preserve">K-Factors Requirement </w:t>
            </w:r>
          </w:p>
        </w:tc>
        <w:tc>
          <w:tcPr>
            <w:tcW w:w="2126" w:type="dxa"/>
          </w:tcPr>
          <w:p w14:paraId="66AAD8CF" w14:textId="31BC1540" w:rsidR="00C44535" w:rsidRPr="00496FC6" w:rsidRDefault="0066439F" w:rsidP="00C44535">
            <w:pPr>
              <w:spacing w:after="0"/>
              <w:ind w:left="0"/>
              <w:jc w:val="center"/>
              <w:rPr>
                <w:rFonts w:cstheme="minorHAnsi"/>
                <w:i/>
                <w:iCs/>
                <w:lang w:val="en-US"/>
              </w:rPr>
            </w:pPr>
            <w:r>
              <w:rPr>
                <w:rFonts w:cstheme="minorHAnsi"/>
                <w:i/>
                <w:iCs/>
                <w:lang w:val="en-US"/>
              </w:rPr>
              <w:t>7,958</w:t>
            </w:r>
          </w:p>
        </w:tc>
      </w:tr>
      <w:tr w:rsidR="00C44535" w:rsidRPr="00496FC6" w14:paraId="616E7C66" w14:textId="77777777" w:rsidTr="006E58D7">
        <w:tc>
          <w:tcPr>
            <w:tcW w:w="7083" w:type="dxa"/>
          </w:tcPr>
          <w:p w14:paraId="6457996C" w14:textId="20594229" w:rsidR="00C44535" w:rsidRPr="00496FC6" w:rsidRDefault="00C44535" w:rsidP="00C44535">
            <w:pPr>
              <w:spacing w:after="0"/>
              <w:ind w:left="0"/>
              <w:rPr>
                <w:rFonts w:cstheme="minorHAnsi"/>
                <w:b/>
                <w:bCs/>
              </w:rPr>
            </w:pPr>
            <w:r w:rsidRPr="00496FC6">
              <w:rPr>
                <w:rFonts w:cstheme="minorHAnsi"/>
                <w:b/>
                <w:bCs/>
              </w:rPr>
              <w:t>Total Own funds Requirement</w:t>
            </w:r>
          </w:p>
        </w:tc>
        <w:tc>
          <w:tcPr>
            <w:tcW w:w="2126" w:type="dxa"/>
          </w:tcPr>
          <w:p w14:paraId="0FA5A9C4" w14:textId="60F7184B" w:rsidR="00C44535" w:rsidRPr="00496FC6" w:rsidRDefault="00D97676" w:rsidP="00C44535">
            <w:pPr>
              <w:spacing w:after="0"/>
              <w:ind w:left="0"/>
              <w:jc w:val="center"/>
              <w:rPr>
                <w:rFonts w:cstheme="minorHAnsi"/>
                <w:b/>
                <w:bCs/>
              </w:rPr>
            </w:pPr>
            <w:r>
              <w:rPr>
                <w:rFonts w:cstheme="minorHAnsi"/>
                <w:b/>
                <w:bCs/>
              </w:rPr>
              <w:t>17,</w:t>
            </w:r>
            <w:r w:rsidR="0066439F">
              <w:rPr>
                <w:rFonts w:cstheme="minorHAnsi"/>
                <w:b/>
                <w:bCs/>
              </w:rPr>
              <w:t>763</w:t>
            </w:r>
          </w:p>
        </w:tc>
      </w:tr>
      <w:tr w:rsidR="00C44535" w:rsidRPr="00496FC6" w14:paraId="07F30033" w14:textId="77777777" w:rsidTr="00C44535">
        <w:trPr>
          <w:trHeight w:val="81"/>
        </w:trPr>
        <w:tc>
          <w:tcPr>
            <w:tcW w:w="7083" w:type="dxa"/>
            <w:shd w:val="clear" w:color="auto" w:fill="C00000"/>
          </w:tcPr>
          <w:p w14:paraId="27073EC6" w14:textId="15A139DE" w:rsidR="00C44535" w:rsidRPr="00496FC6" w:rsidRDefault="00C44535" w:rsidP="00C44535">
            <w:pPr>
              <w:spacing w:after="0"/>
              <w:ind w:left="0"/>
              <w:rPr>
                <w:rFonts w:cstheme="minorHAnsi"/>
                <w:b/>
                <w:bCs/>
                <w:color w:val="FFFFFF" w:themeColor="background1"/>
                <w:lang w:val="en-US"/>
              </w:rPr>
            </w:pPr>
            <w:r w:rsidRPr="00496FC6">
              <w:rPr>
                <w:rFonts w:cstheme="minorHAnsi"/>
                <w:b/>
                <w:bCs/>
                <w:color w:val="FFFFFF" w:themeColor="background1"/>
              </w:rPr>
              <w:t>CAPITAL RATIOS</w:t>
            </w:r>
          </w:p>
        </w:tc>
        <w:tc>
          <w:tcPr>
            <w:tcW w:w="2126" w:type="dxa"/>
            <w:shd w:val="clear" w:color="auto" w:fill="C00000"/>
          </w:tcPr>
          <w:p w14:paraId="5C0005FF" w14:textId="6535A57B" w:rsidR="00C44535" w:rsidRPr="00496FC6" w:rsidRDefault="00C44535" w:rsidP="00C44535">
            <w:pPr>
              <w:spacing w:after="0"/>
              <w:ind w:left="0"/>
              <w:jc w:val="center"/>
              <w:rPr>
                <w:rFonts w:cstheme="minorHAnsi"/>
                <w:b/>
                <w:bCs/>
                <w:color w:val="FFFFFF" w:themeColor="background1"/>
                <w:lang w:val="en-US"/>
              </w:rPr>
            </w:pPr>
          </w:p>
        </w:tc>
      </w:tr>
      <w:tr w:rsidR="00C44535" w:rsidRPr="00496FC6" w14:paraId="15D9661F" w14:textId="77777777" w:rsidTr="006E58D7">
        <w:tc>
          <w:tcPr>
            <w:tcW w:w="7083" w:type="dxa"/>
          </w:tcPr>
          <w:p w14:paraId="105B61F9" w14:textId="2072A88C" w:rsidR="00C44535" w:rsidRPr="00496FC6" w:rsidRDefault="00C44535" w:rsidP="00C44535">
            <w:pPr>
              <w:spacing w:after="0"/>
              <w:ind w:left="0"/>
              <w:rPr>
                <w:rFonts w:cstheme="minorHAnsi"/>
                <w:b/>
                <w:bCs/>
                <w:lang w:val="en-US"/>
              </w:rPr>
            </w:pPr>
            <w:r w:rsidRPr="00496FC6">
              <w:rPr>
                <w:rFonts w:cstheme="minorHAnsi"/>
                <w:b/>
                <w:bCs/>
              </w:rPr>
              <w:t>Common Equity Tier 1 Capital Ratio (min. 56%)</w:t>
            </w:r>
          </w:p>
        </w:tc>
        <w:tc>
          <w:tcPr>
            <w:tcW w:w="2126" w:type="dxa"/>
          </w:tcPr>
          <w:p w14:paraId="1CCA3ED6" w14:textId="2F86ED52" w:rsidR="00C44535" w:rsidRPr="00496FC6" w:rsidRDefault="00FE7AA1" w:rsidP="00C44535">
            <w:pPr>
              <w:spacing w:after="0"/>
              <w:ind w:left="0"/>
              <w:jc w:val="center"/>
              <w:rPr>
                <w:rFonts w:cstheme="minorHAnsi"/>
                <w:b/>
                <w:bCs/>
                <w:lang w:val="en-US"/>
              </w:rPr>
            </w:pPr>
            <w:r>
              <w:rPr>
                <w:rFonts w:cstheme="minorHAnsi"/>
                <w:b/>
                <w:bCs/>
                <w:lang w:val="en-US"/>
              </w:rPr>
              <w:t>18</w:t>
            </w:r>
            <w:r w:rsidR="0066439F">
              <w:rPr>
                <w:rFonts w:cstheme="minorHAnsi"/>
                <w:b/>
                <w:bCs/>
                <w:lang w:val="en-US"/>
              </w:rPr>
              <w:t>5.85%</w:t>
            </w:r>
          </w:p>
        </w:tc>
      </w:tr>
      <w:tr w:rsidR="00C44535" w:rsidRPr="00496FC6" w14:paraId="52E6B606" w14:textId="77777777" w:rsidTr="006E58D7">
        <w:tc>
          <w:tcPr>
            <w:tcW w:w="7083" w:type="dxa"/>
          </w:tcPr>
          <w:p w14:paraId="6A51A7B7" w14:textId="62D94647" w:rsidR="00C44535" w:rsidRPr="00496FC6" w:rsidRDefault="00C44535" w:rsidP="00C44535">
            <w:pPr>
              <w:spacing w:after="0"/>
              <w:ind w:left="0"/>
              <w:rPr>
                <w:rFonts w:cstheme="minorHAnsi"/>
                <w:b/>
                <w:bCs/>
              </w:rPr>
            </w:pPr>
            <w:r w:rsidRPr="00496FC6">
              <w:rPr>
                <w:rFonts w:cstheme="minorHAnsi"/>
              </w:rPr>
              <w:t xml:space="preserve">Surplus/(Deficit) of </w:t>
            </w:r>
            <w:r w:rsidRPr="00496FC6">
              <w:rPr>
                <w:rFonts w:cstheme="minorHAnsi"/>
                <w:b/>
                <w:bCs/>
              </w:rPr>
              <w:t xml:space="preserve">Common Equity Tier 1 </w:t>
            </w:r>
            <w:r w:rsidRPr="00496FC6">
              <w:rPr>
                <w:rFonts w:cstheme="minorHAnsi"/>
              </w:rPr>
              <w:t>Capital Ratio</w:t>
            </w:r>
          </w:p>
        </w:tc>
        <w:tc>
          <w:tcPr>
            <w:tcW w:w="2126" w:type="dxa"/>
          </w:tcPr>
          <w:p w14:paraId="599C0E8A" w14:textId="044B5D2B" w:rsidR="00C44535" w:rsidRPr="00496FC6" w:rsidRDefault="00FE7AA1" w:rsidP="00C44535">
            <w:pPr>
              <w:spacing w:after="0"/>
              <w:ind w:left="0"/>
              <w:jc w:val="center"/>
              <w:rPr>
                <w:rFonts w:cstheme="minorHAnsi"/>
                <w:b/>
                <w:bCs/>
                <w:lang w:val="en-US"/>
              </w:rPr>
            </w:pPr>
            <w:r>
              <w:rPr>
                <w:rFonts w:cstheme="minorHAnsi"/>
                <w:b/>
                <w:bCs/>
                <w:lang w:val="en-US"/>
              </w:rPr>
              <w:t>2</w:t>
            </w:r>
            <w:r w:rsidR="0066439F">
              <w:rPr>
                <w:rFonts w:cstheme="minorHAnsi"/>
                <w:b/>
                <w:bCs/>
                <w:lang w:val="en-US"/>
              </w:rPr>
              <w:t>3,065</w:t>
            </w:r>
          </w:p>
        </w:tc>
      </w:tr>
      <w:tr w:rsidR="00C44535" w:rsidRPr="00496FC6" w14:paraId="455BEC7D" w14:textId="77777777" w:rsidTr="006E58D7">
        <w:tc>
          <w:tcPr>
            <w:tcW w:w="7083" w:type="dxa"/>
          </w:tcPr>
          <w:p w14:paraId="502F6696" w14:textId="51E77367" w:rsidR="00C44535" w:rsidRPr="00496FC6" w:rsidRDefault="00C44535" w:rsidP="00C44535">
            <w:pPr>
              <w:spacing w:after="0"/>
              <w:ind w:left="0"/>
              <w:rPr>
                <w:rFonts w:cstheme="minorHAnsi"/>
                <w:b/>
                <w:bCs/>
                <w:lang w:val="en-US"/>
              </w:rPr>
            </w:pPr>
            <w:r w:rsidRPr="00496FC6">
              <w:rPr>
                <w:rFonts w:cstheme="minorHAnsi"/>
                <w:b/>
                <w:bCs/>
              </w:rPr>
              <w:t>Tier 1 Capital Ratio (min. 75%)</w:t>
            </w:r>
          </w:p>
        </w:tc>
        <w:tc>
          <w:tcPr>
            <w:tcW w:w="2126" w:type="dxa"/>
          </w:tcPr>
          <w:p w14:paraId="457F7297" w14:textId="546004ED" w:rsidR="00C44535" w:rsidRPr="00496FC6" w:rsidRDefault="003F03D3" w:rsidP="00C44535">
            <w:pPr>
              <w:spacing w:after="0"/>
              <w:ind w:left="0"/>
              <w:jc w:val="center"/>
              <w:rPr>
                <w:rFonts w:cstheme="minorHAnsi"/>
                <w:b/>
                <w:bCs/>
                <w:lang w:val="en-US"/>
              </w:rPr>
            </w:pPr>
            <w:r>
              <w:rPr>
                <w:rFonts w:cstheme="minorHAnsi"/>
                <w:b/>
                <w:bCs/>
                <w:lang w:val="en-US"/>
              </w:rPr>
              <w:t>18</w:t>
            </w:r>
            <w:r w:rsidR="0066439F">
              <w:rPr>
                <w:rFonts w:cstheme="minorHAnsi"/>
                <w:b/>
                <w:bCs/>
                <w:lang w:val="en-US"/>
              </w:rPr>
              <w:t>5.85</w:t>
            </w:r>
            <w:r w:rsidR="0005183A">
              <w:rPr>
                <w:rFonts w:cstheme="minorHAnsi"/>
                <w:b/>
                <w:bCs/>
                <w:lang w:val="en-US"/>
              </w:rPr>
              <w:t>%</w:t>
            </w:r>
          </w:p>
        </w:tc>
      </w:tr>
      <w:tr w:rsidR="00C44535" w:rsidRPr="00496FC6" w14:paraId="35E3C946" w14:textId="77777777" w:rsidTr="006E58D7">
        <w:tc>
          <w:tcPr>
            <w:tcW w:w="7083" w:type="dxa"/>
          </w:tcPr>
          <w:p w14:paraId="23046AB4" w14:textId="5BC863A3" w:rsidR="00C44535" w:rsidRPr="00496FC6" w:rsidRDefault="00C44535" w:rsidP="00C44535">
            <w:pPr>
              <w:spacing w:after="0"/>
              <w:ind w:left="0"/>
              <w:rPr>
                <w:rFonts w:cstheme="minorHAnsi"/>
                <w:b/>
                <w:bCs/>
              </w:rPr>
            </w:pPr>
            <w:r w:rsidRPr="00496FC6">
              <w:rPr>
                <w:rFonts w:cstheme="minorHAnsi"/>
              </w:rPr>
              <w:t>Surplus/(Deficit) of Tier 1 Capital Ratio</w:t>
            </w:r>
          </w:p>
        </w:tc>
        <w:tc>
          <w:tcPr>
            <w:tcW w:w="2126" w:type="dxa"/>
          </w:tcPr>
          <w:p w14:paraId="7B7E432B" w14:textId="779C51E2" w:rsidR="00C44535" w:rsidRPr="00496FC6" w:rsidRDefault="0066439F" w:rsidP="00C44535">
            <w:pPr>
              <w:spacing w:after="0"/>
              <w:ind w:left="0"/>
              <w:jc w:val="center"/>
              <w:rPr>
                <w:rFonts w:cstheme="minorHAnsi"/>
                <w:b/>
                <w:bCs/>
                <w:lang w:val="en-US"/>
              </w:rPr>
            </w:pPr>
            <w:r>
              <w:rPr>
                <w:rFonts w:cstheme="minorHAnsi"/>
                <w:b/>
                <w:bCs/>
                <w:lang w:val="en-US"/>
              </w:rPr>
              <w:t>19,690</w:t>
            </w:r>
          </w:p>
        </w:tc>
      </w:tr>
      <w:tr w:rsidR="00C44535" w:rsidRPr="00496FC6" w14:paraId="295A583E" w14:textId="77777777" w:rsidTr="006E58D7">
        <w:tc>
          <w:tcPr>
            <w:tcW w:w="7083" w:type="dxa"/>
          </w:tcPr>
          <w:p w14:paraId="728C44E2" w14:textId="298DECDF" w:rsidR="00C44535" w:rsidRPr="00496FC6" w:rsidRDefault="00C44535" w:rsidP="00C44535">
            <w:pPr>
              <w:spacing w:after="0"/>
              <w:ind w:left="0"/>
              <w:rPr>
                <w:rFonts w:cstheme="minorHAnsi"/>
                <w:b/>
                <w:bCs/>
                <w:lang w:val="en-US"/>
              </w:rPr>
            </w:pPr>
            <w:r w:rsidRPr="00496FC6">
              <w:rPr>
                <w:rFonts w:cstheme="minorHAnsi"/>
                <w:b/>
                <w:bCs/>
              </w:rPr>
              <w:t>Total Capital Ratio (min. 100%)</w:t>
            </w:r>
          </w:p>
        </w:tc>
        <w:tc>
          <w:tcPr>
            <w:tcW w:w="2126" w:type="dxa"/>
          </w:tcPr>
          <w:p w14:paraId="0A3B8B44" w14:textId="1AA7052E" w:rsidR="00C44535" w:rsidRPr="00496FC6" w:rsidRDefault="003F03D3" w:rsidP="00C44535">
            <w:pPr>
              <w:spacing w:after="0"/>
              <w:ind w:left="0"/>
              <w:jc w:val="center"/>
              <w:rPr>
                <w:rFonts w:cstheme="minorHAnsi"/>
                <w:b/>
                <w:bCs/>
                <w:lang w:val="en-US"/>
              </w:rPr>
            </w:pPr>
            <w:r>
              <w:rPr>
                <w:rFonts w:cstheme="minorHAnsi"/>
                <w:b/>
                <w:bCs/>
                <w:lang w:val="en-US"/>
              </w:rPr>
              <w:t>18</w:t>
            </w:r>
            <w:r w:rsidR="0066439F">
              <w:rPr>
                <w:rFonts w:cstheme="minorHAnsi"/>
                <w:b/>
                <w:bCs/>
                <w:lang w:val="en-US"/>
              </w:rPr>
              <w:t>5</w:t>
            </w:r>
            <w:r>
              <w:rPr>
                <w:rFonts w:cstheme="minorHAnsi"/>
                <w:b/>
                <w:bCs/>
                <w:lang w:val="en-US"/>
              </w:rPr>
              <w:t>.</w:t>
            </w:r>
            <w:r w:rsidR="0066439F">
              <w:rPr>
                <w:rFonts w:cstheme="minorHAnsi"/>
                <w:b/>
                <w:bCs/>
                <w:lang w:val="en-US"/>
              </w:rPr>
              <w:t>8</w:t>
            </w:r>
            <w:r>
              <w:rPr>
                <w:rFonts w:cstheme="minorHAnsi"/>
                <w:b/>
                <w:bCs/>
                <w:lang w:val="en-US"/>
              </w:rPr>
              <w:t>5</w:t>
            </w:r>
            <w:r w:rsidR="006A7420">
              <w:rPr>
                <w:rFonts w:cstheme="minorHAnsi"/>
                <w:b/>
                <w:bCs/>
                <w:lang w:val="en-US"/>
              </w:rPr>
              <w:t>%</w:t>
            </w:r>
          </w:p>
        </w:tc>
      </w:tr>
      <w:tr w:rsidR="00C44535" w:rsidRPr="00496FC6" w14:paraId="47D15DE5" w14:textId="77777777" w:rsidTr="006E58D7">
        <w:tc>
          <w:tcPr>
            <w:tcW w:w="7083" w:type="dxa"/>
          </w:tcPr>
          <w:p w14:paraId="09F80045" w14:textId="300E04B2" w:rsidR="00C44535" w:rsidRPr="00496FC6" w:rsidRDefault="00C44535" w:rsidP="00C44535">
            <w:pPr>
              <w:spacing w:after="0"/>
              <w:ind w:left="0"/>
              <w:rPr>
                <w:rFonts w:cstheme="minorHAnsi"/>
                <w:lang w:val="en-US"/>
              </w:rPr>
            </w:pPr>
            <w:r w:rsidRPr="00496FC6">
              <w:rPr>
                <w:rFonts w:cstheme="minorHAnsi"/>
              </w:rPr>
              <w:t>Surplus/(Deficit) of Total Capital Ratio</w:t>
            </w:r>
          </w:p>
        </w:tc>
        <w:tc>
          <w:tcPr>
            <w:tcW w:w="2126" w:type="dxa"/>
          </w:tcPr>
          <w:p w14:paraId="0A2EFDF5" w14:textId="02C20E3F" w:rsidR="00C44535" w:rsidRPr="00496FC6" w:rsidRDefault="003F03D3" w:rsidP="00C44535">
            <w:pPr>
              <w:spacing w:after="0"/>
              <w:ind w:left="0"/>
              <w:jc w:val="center"/>
              <w:rPr>
                <w:rFonts w:cstheme="minorHAnsi"/>
                <w:b/>
                <w:bCs/>
                <w:color w:val="00B050"/>
                <w:lang w:val="en-US"/>
              </w:rPr>
            </w:pPr>
            <w:r>
              <w:rPr>
                <w:rFonts w:cstheme="minorHAnsi"/>
                <w:b/>
                <w:bCs/>
                <w:lang w:val="en-US"/>
              </w:rPr>
              <w:t>1</w:t>
            </w:r>
            <w:r w:rsidR="0066439F">
              <w:rPr>
                <w:rFonts w:cstheme="minorHAnsi"/>
                <w:b/>
                <w:bCs/>
                <w:lang w:val="en-US"/>
              </w:rPr>
              <w:t>5,250</w:t>
            </w:r>
          </w:p>
        </w:tc>
      </w:tr>
    </w:tbl>
    <w:p w14:paraId="53D16640" w14:textId="525693EF" w:rsidR="00C44535" w:rsidRDefault="00C44535" w:rsidP="00C44535">
      <w:pPr>
        <w:autoSpaceDE w:val="0"/>
        <w:autoSpaceDN w:val="0"/>
        <w:adjustRightInd w:val="0"/>
        <w:ind w:left="0"/>
        <w:rPr>
          <w:rFonts w:cstheme="minorHAnsi"/>
        </w:rPr>
      </w:pPr>
      <w:r w:rsidRPr="00496FC6">
        <w:rPr>
          <w:rFonts w:cstheme="minorHAnsi"/>
        </w:rPr>
        <w:br/>
        <w:t xml:space="preserve">As per the above results, </w:t>
      </w:r>
      <w:r w:rsidR="00512FFC">
        <w:rPr>
          <w:rFonts w:cstheme="minorHAnsi"/>
        </w:rPr>
        <w:t xml:space="preserve">the </w:t>
      </w:r>
      <w:r w:rsidR="003F03D3">
        <w:rPr>
          <w:rFonts w:cstheme="minorHAnsi"/>
        </w:rPr>
        <w:t>Group</w:t>
      </w:r>
      <w:r w:rsidR="00FF2DA0" w:rsidRPr="00A73318">
        <w:rPr>
          <w:rFonts w:cstheme="minorHAnsi"/>
        </w:rPr>
        <w:t xml:space="preserve"> </w:t>
      </w:r>
      <w:r w:rsidRPr="00496FC6">
        <w:rPr>
          <w:rFonts w:cstheme="minorHAnsi"/>
        </w:rPr>
        <w:t xml:space="preserve">as </w:t>
      </w:r>
      <w:proofErr w:type="gramStart"/>
      <w:r w:rsidRPr="00496FC6">
        <w:rPr>
          <w:rFonts w:cstheme="minorHAnsi"/>
        </w:rPr>
        <w:t>at</w:t>
      </w:r>
      <w:proofErr w:type="gramEnd"/>
      <w:r w:rsidRPr="00496FC6">
        <w:rPr>
          <w:rFonts w:cstheme="minorHAnsi"/>
        </w:rPr>
        <w:t xml:space="preserve"> </w:t>
      </w:r>
      <w:r w:rsidR="008D585F" w:rsidRPr="00A73318">
        <w:rPr>
          <w:rFonts w:cstheme="minorHAnsi"/>
        </w:rPr>
        <w:t>31 December 202</w:t>
      </w:r>
      <w:r w:rsidR="0066439F">
        <w:rPr>
          <w:rFonts w:cstheme="minorHAnsi"/>
        </w:rPr>
        <w:t>3</w:t>
      </w:r>
      <w:r w:rsidR="008D585F" w:rsidRPr="00A73318">
        <w:rPr>
          <w:rFonts w:cstheme="minorHAnsi"/>
        </w:rPr>
        <w:t xml:space="preserve"> </w:t>
      </w:r>
      <w:r w:rsidRPr="00496FC6">
        <w:rPr>
          <w:rFonts w:cstheme="minorHAnsi"/>
        </w:rPr>
        <w:t>maintain</w:t>
      </w:r>
      <w:r w:rsidR="00512FFC">
        <w:rPr>
          <w:rFonts w:cstheme="minorHAnsi"/>
        </w:rPr>
        <w:t>ed</w:t>
      </w:r>
      <w:r w:rsidRPr="00496FC6">
        <w:rPr>
          <w:rFonts w:cstheme="minorHAnsi"/>
        </w:rPr>
        <w:t xml:space="preserve"> adequate own funds to cover its capital requirements. </w:t>
      </w:r>
      <w:r w:rsidR="00624DB7">
        <w:rPr>
          <w:rFonts w:cstheme="minorHAnsi"/>
        </w:rPr>
        <w:t>T</w:t>
      </w:r>
      <w:r w:rsidRPr="00496FC6">
        <w:rPr>
          <w:rFonts w:cstheme="minorHAnsi"/>
        </w:rPr>
        <w:t xml:space="preserve">he </w:t>
      </w:r>
      <w:r w:rsidR="003F03D3">
        <w:rPr>
          <w:rFonts w:cstheme="minorHAnsi"/>
        </w:rPr>
        <w:t>Group</w:t>
      </w:r>
      <w:r w:rsidRPr="00496FC6">
        <w:rPr>
          <w:rFonts w:cstheme="minorHAnsi"/>
        </w:rPr>
        <w:t xml:space="preserve"> </w:t>
      </w:r>
      <w:r w:rsidR="00DF03A6" w:rsidRPr="00496FC6">
        <w:rPr>
          <w:rFonts w:cstheme="minorHAnsi"/>
        </w:rPr>
        <w:t>will continue</w:t>
      </w:r>
      <w:r w:rsidRPr="00496FC6">
        <w:rPr>
          <w:rFonts w:cstheme="minorHAnsi"/>
        </w:rPr>
        <w:t xml:space="preserve"> </w:t>
      </w:r>
      <w:r w:rsidR="00571348">
        <w:rPr>
          <w:rFonts w:cstheme="minorHAnsi"/>
        </w:rPr>
        <w:t xml:space="preserve">to </w:t>
      </w:r>
      <w:r w:rsidRPr="00496FC6">
        <w:rPr>
          <w:rFonts w:cstheme="minorHAnsi"/>
        </w:rPr>
        <w:t xml:space="preserve">monitor the above ratios </w:t>
      </w:r>
      <w:proofErr w:type="gramStart"/>
      <w:r w:rsidRPr="00496FC6">
        <w:rPr>
          <w:rFonts w:cstheme="minorHAnsi"/>
        </w:rPr>
        <w:t>in order to</w:t>
      </w:r>
      <w:proofErr w:type="gramEnd"/>
      <w:r w:rsidRPr="00496FC6">
        <w:rPr>
          <w:rFonts w:cstheme="minorHAnsi"/>
        </w:rPr>
        <w:t xml:space="preserve"> ensure compliance with the capital adequacy requirements at all times.</w:t>
      </w:r>
    </w:p>
    <w:p w14:paraId="1AA15C03" w14:textId="113D88FF" w:rsidR="00556976" w:rsidRPr="00496FC6" w:rsidRDefault="00DF03A6" w:rsidP="00392620">
      <w:pPr>
        <w:pStyle w:val="Heading2"/>
        <w:numPr>
          <w:ilvl w:val="1"/>
          <w:numId w:val="2"/>
        </w:numPr>
        <w:spacing w:before="240"/>
        <w:rPr>
          <w:rFonts w:asciiTheme="minorHAnsi" w:hAnsiTheme="minorHAnsi" w:cstheme="minorBidi"/>
        </w:rPr>
      </w:pPr>
      <w:bookmarkStart w:id="66" w:name="_Toc139016583"/>
      <w:bookmarkStart w:id="67" w:name="_Toc1302962349"/>
      <w:r w:rsidRPr="1C012DF9">
        <w:rPr>
          <w:rFonts w:asciiTheme="minorHAnsi" w:hAnsiTheme="minorHAnsi" w:cstheme="minorBidi"/>
        </w:rPr>
        <w:t>Liquidity Requirements</w:t>
      </w:r>
      <w:bookmarkEnd w:id="66"/>
      <w:r w:rsidRPr="1C012DF9">
        <w:rPr>
          <w:rFonts w:asciiTheme="minorHAnsi" w:hAnsiTheme="minorHAnsi" w:cstheme="minorBidi"/>
        </w:rPr>
        <w:t xml:space="preserve"> </w:t>
      </w:r>
      <w:bookmarkEnd w:id="67"/>
    </w:p>
    <w:p w14:paraId="3919BE46" w14:textId="0E8A35F1" w:rsidR="00DF03A6" w:rsidRPr="00496FC6" w:rsidRDefault="00DF03A6" w:rsidP="00DF03A6">
      <w:pPr>
        <w:ind w:left="0"/>
        <w:rPr>
          <w:rFonts w:cstheme="minorHAnsi"/>
        </w:rPr>
      </w:pPr>
      <w:r w:rsidRPr="00496FC6">
        <w:rPr>
          <w:rFonts w:cstheme="minorHAnsi"/>
        </w:rPr>
        <w:br/>
        <w:t>The basic liquid assets requirement is based on a proportion of a</w:t>
      </w:r>
      <w:r w:rsidR="00CA5107">
        <w:rPr>
          <w:rFonts w:cstheme="minorHAnsi"/>
        </w:rPr>
        <w:t xml:space="preserve"> MIFIDPUR</w:t>
      </w:r>
      <w:r w:rsidRPr="00496FC6">
        <w:rPr>
          <w:rFonts w:cstheme="minorHAnsi"/>
        </w:rPr>
        <w:t xml:space="preserve"> investment firm’s </w:t>
      </w:r>
      <w:r w:rsidR="001A10D5">
        <w:rPr>
          <w:rFonts w:cstheme="minorHAnsi"/>
        </w:rPr>
        <w:t>F</w:t>
      </w:r>
      <w:r w:rsidRPr="00496FC6">
        <w:rPr>
          <w:rFonts w:cstheme="minorHAnsi"/>
        </w:rPr>
        <w:t xml:space="preserve">ixed </w:t>
      </w:r>
      <w:r w:rsidR="001A10D5">
        <w:rPr>
          <w:rFonts w:cstheme="minorHAnsi"/>
        </w:rPr>
        <w:t>O</w:t>
      </w:r>
      <w:r w:rsidRPr="00496FC6">
        <w:rPr>
          <w:rFonts w:cstheme="minorHAnsi"/>
        </w:rPr>
        <w:t xml:space="preserve">verheads </w:t>
      </w:r>
      <w:r w:rsidR="001A10D5">
        <w:rPr>
          <w:rFonts w:cstheme="minorHAnsi"/>
        </w:rPr>
        <w:t>R</w:t>
      </w:r>
      <w:r w:rsidRPr="00496FC6">
        <w:rPr>
          <w:rFonts w:cstheme="minorHAnsi"/>
        </w:rPr>
        <w:t>equirement and any guarantees provided to clients. The purpose is to ensure that investment firms have an adequate stock of unencumbered high-quality liquid assets that can be converted easily and immediately in private markets in</w:t>
      </w:r>
      <w:r w:rsidR="0071096B">
        <w:rPr>
          <w:rFonts w:cstheme="minorHAnsi"/>
        </w:rPr>
        <w:t>to</w:t>
      </w:r>
      <w:r w:rsidRPr="00496FC6">
        <w:rPr>
          <w:rFonts w:cstheme="minorHAnsi"/>
        </w:rPr>
        <w:t xml:space="preserve"> cash to meet their liquidity needs.</w:t>
      </w:r>
    </w:p>
    <w:p w14:paraId="2BA551A8" w14:textId="323F9064" w:rsidR="00DF03A6" w:rsidRPr="00496FC6" w:rsidRDefault="00DF03A6" w:rsidP="00DF03A6">
      <w:pPr>
        <w:ind w:left="0"/>
        <w:rPr>
          <w:rFonts w:cstheme="minorHAnsi"/>
        </w:rPr>
      </w:pPr>
      <w:r w:rsidRPr="00496FC6">
        <w:rPr>
          <w:rFonts w:cstheme="minorHAnsi"/>
        </w:rPr>
        <w:t xml:space="preserve">The </w:t>
      </w:r>
      <w:r w:rsidR="003F03D3">
        <w:rPr>
          <w:rFonts w:cstheme="minorHAnsi"/>
        </w:rPr>
        <w:t>Group</w:t>
      </w:r>
      <w:r w:rsidRPr="00496FC6">
        <w:rPr>
          <w:rFonts w:cstheme="minorHAnsi"/>
        </w:rPr>
        <w:t xml:space="preserve"> is required to maintain an amount of liquid assets that is at least equal to the sum of the following: </w:t>
      </w:r>
    </w:p>
    <w:p w14:paraId="003A65CA" w14:textId="06D89EF4" w:rsidR="00DF03A6" w:rsidRPr="00496FC6" w:rsidRDefault="00DF03A6">
      <w:pPr>
        <w:pStyle w:val="ListParagraph"/>
        <w:numPr>
          <w:ilvl w:val="0"/>
          <w:numId w:val="11"/>
        </w:numPr>
        <w:rPr>
          <w:rFonts w:cstheme="minorHAnsi"/>
        </w:rPr>
      </w:pPr>
      <w:r w:rsidRPr="00496FC6">
        <w:rPr>
          <w:rFonts w:cstheme="minorHAnsi"/>
        </w:rPr>
        <w:t xml:space="preserve">one third of the amount of its </w:t>
      </w:r>
      <w:r w:rsidR="001E7204">
        <w:rPr>
          <w:rFonts w:cstheme="minorHAnsi"/>
        </w:rPr>
        <w:t>F</w:t>
      </w:r>
      <w:r w:rsidRPr="00496FC6">
        <w:rPr>
          <w:rFonts w:cstheme="minorHAnsi"/>
        </w:rPr>
        <w:t xml:space="preserve">ixed </w:t>
      </w:r>
      <w:r w:rsidR="001E7204">
        <w:rPr>
          <w:rFonts w:cstheme="minorHAnsi"/>
        </w:rPr>
        <w:t>O</w:t>
      </w:r>
      <w:r w:rsidRPr="00496FC6">
        <w:rPr>
          <w:rFonts w:cstheme="minorHAnsi"/>
        </w:rPr>
        <w:t xml:space="preserve">verheads </w:t>
      </w:r>
      <w:r w:rsidR="001E7204">
        <w:rPr>
          <w:rFonts w:cstheme="minorHAnsi"/>
        </w:rPr>
        <w:t>R</w:t>
      </w:r>
      <w:r w:rsidRPr="00496FC6">
        <w:rPr>
          <w:rFonts w:cstheme="minorHAnsi"/>
        </w:rPr>
        <w:t>equirement, and</w:t>
      </w:r>
    </w:p>
    <w:p w14:paraId="45820F28" w14:textId="16D35C41" w:rsidR="00DF03A6" w:rsidRPr="00496FC6" w:rsidRDefault="00DF03A6">
      <w:pPr>
        <w:pStyle w:val="ListParagraph"/>
        <w:numPr>
          <w:ilvl w:val="0"/>
          <w:numId w:val="11"/>
        </w:numPr>
        <w:rPr>
          <w:rFonts w:cstheme="minorHAnsi"/>
        </w:rPr>
      </w:pPr>
      <w:r w:rsidRPr="00496FC6">
        <w:rPr>
          <w:rFonts w:cstheme="minorHAnsi"/>
        </w:rPr>
        <w:t>1.6% of the total amount of any guarantees provided to clients.</w:t>
      </w:r>
    </w:p>
    <w:p w14:paraId="4586D585" w14:textId="1F280866" w:rsidR="00DF03A6" w:rsidRPr="00496FC6" w:rsidRDefault="00DF03A6" w:rsidP="00DF03A6">
      <w:pPr>
        <w:ind w:left="0"/>
        <w:rPr>
          <w:rFonts w:cstheme="minorHAnsi"/>
        </w:rPr>
      </w:pPr>
      <w:r w:rsidRPr="00496FC6">
        <w:rPr>
          <w:rFonts w:cstheme="minorHAnsi"/>
        </w:rPr>
        <w:lastRenderedPageBreak/>
        <w:t xml:space="preserve">The MIFIDPRU handbook defines core liquid assets as any of the following items denominated in pound sterling: </w:t>
      </w:r>
    </w:p>
    <w:p w14:paraId="23D515FE" w14:textId="77777777" w:rsidR="00DF03A6" w:rsidRPr="00496FC6" w:rsidRDefault="00DF03A6">
      <w:pPr>
        <w:pStyle w:val="ListParagraph"/>
        <w:numPr>
          <w:ilvl w:val="0"/>
          <w:numId w:val="12"/>
        </w:numPr>
        <w:tabs>
          <w:tab w:val="clear" w:pos="1080"/>
          <w:tab w:val="num" w:pos="1276"/>
        </w:tabs>
        <w:ind w:left="709"/>
        <w:rPr>
          <w:rFonts w:cstheme="minorHAnsi"/>
        </w:rPr>
      </w:pPr>
      <w:r w:rsidRPr="00496FC6">
        <w:rPr>
          <w:rFonts w:cstheme="minorHAnsi"/>
        </w:rPr>
        <w:t xml:space="preserve">coins and </w:t>
      </w:r>
      <w:proofErr w:type="gramStart"/>
      <w:r w:rsidRPr="00496FC6">
        <w:rPr>
          <w:rFonts w:cstheme="minorHAnsi"/>
        </w:rPr>
        <w:t>banknotes;</w:t>
      </w:r>
      <w:proofErr w:type="gramEnd"/>
    </w:p>
    <w:p w14:paraId="0C642A00" w14:textId="77777777" w:rsidR="00DF03A6" w:rsidRPr="00496FC6" w:rsidRDefault="00DF03A6">
      <w:pPr>
        <w:pStyle w:val="ListParagraph"/>
        <w:numPr>
          <w:ilvl w:val="0"/>
          <w:numId w:val="12"/>
        </w:numPr>
        <w:tabs>
          <w:tab w:val="clear" w:pos="1080"/>
          <w:tab w:val="num" w:pos="1276"/>
        </w:tabs>
        <w:ind w:left="709"/>
        <w:rPr>
          <w:rFonts w:cstheme="minorHAnsi"/>
        </w:rPr>
      </w:pPr>
      <w:r w:rsidRPr="00496FC6">
        <w:rPr>
          <w:rFonts w:cstheme="minorHAnsi"/>
        </w:rPr>
        <w:t xml:space="preserve">short-term deposits at a UK-authorised credit </w:t>
      </w:r>
      <w:proofErr w:type="gramStart"/>
      <w:r w:rsidRPr="00496FC6">
        <w:rPr>
          <w:rFonts w:cstheme="minorHAnsi"/>
        </w:rPr>
        <w:t>institution;</w:t>
      </w:r>
      <w:proofErr w:type="gramEnd"/>
    </w:p>
    <w:p w14:paraId="535B94B1" w14:textId="77777777" w:rsidR="00DF03A6" w:rsidRPr="00496FC6" w:rsidRDefault="00DF03A6">
      <w:pPr>
        <w:pStyle w:val="ListParagraph"/>
        <w:numPr>
          <w:ilvl w:val="0"/>
          <w:numId w:val="12"/>
        </w:numPr>
        <w:tabs>
          <w:tab w:val="clear" w:pos="1080"/>
          <w:tab w:val="num" w:pos="1276"/>
        </w:tabs>
        <w:ind w:left="709"/>
        <w:rPr>
          <w:rFonts w:cstheme="minorHAnsi"/>
        </w:rPr>
      </w:pPr>
      <w:r w:rsidRPr="00496FC6">
        <w:rPr>
          <w:rFonts w:cstheme="minorHAnsi"/>
        </w:rPr>
        <w:t xml:space="preserve">assets representing claims on or guaranteed by the UK government or the Bank of </w:t>
      </w:r>
      <w:proofErr w:type="gramStart"/>
      <w:r w:rsidRPr="00496FC6">
        <w:rPr>
          <w:rFonts w:cstheme="minorHAnsi"/>
        </w:rPr>
        <w:t>England;</w:t>
      </w:r>
      <w:proofErr w:type="gramEnd"/>
    </w:p>
    <w:p w14:paraId="4D829C8E" w14:textId="457C5F98" w:rsidR="00DF03A6" w:rsidRPr="00496FC6" w:rsidRDefault="00DF03A6">
      <w:pPr>
        <w:pStyle w:val="ListParagraph"/>
        <w:numPr>
          <w:ilvl w:val="0"/>
          <w:numId w:val="12"/>
        </w:numPr>
        <w:tabs>
          <w:tab w:val="clear" w:pos="1080"/>
          <w:tab w:val="num" w:pos="1276"/>
        </w:tabs>
        <w:ind w:left="709"/>
        <w:rPr>
          <w:rFonts w:cstheme="minorHAnsi"/>
        </w:rPr>
      </w:pPr>
      <w:r w:rsidRPr="00496FC6">
        <w:rPr>
          <w:rFonts w:cstheme="minorHAnsi"/>
        </w:rPr>
        <w:t xml:space="preserve">units or shares in a short-term </w:t>
      </w:r>
      <w:r w:rsidR="00C441B1" w:rsidRPr="00C441B1">
        <w:rPr>
          <w:rFonts w:cstheme="minorHAnsi"/>
        </w:rPr>
        <w:t>money market funds (“MMF”</w:t>
      </w:r>
      <w:proofErr w:type="gramStart"/>
      <w:r w:rsidR="00C441B1" w:rsidRPr="00C441B1">
        <w:rPr>
          <w:rFonts w:cstheme="minorHAnsi"/>
        </w:rPr>
        <w:t>)</w:t>
      </w:r>
      <w:r w:rsidRPr="00496FC6">
        <w:rPr>
          <w:rFonts w:cstheme="minorHAnsi"/>
        </w:rPr>
        <w:t>;</w:t>
      </w:r>
      <w:proofErr w:type="gramEnd"/>
    </w:p>
    <w:p w14:paraId="4CBCAF3A" w14:textId="0E36101C" w:rsidR="00DF03A6" w:rsidRPr="00496FC6" w:rsidRDefault="00DF03A6">
      <w:pPr>
        <w:pStyle w:val="ListParagraph"/>
        <w:numPr>
          <w:ilvl w:val="0"/>
          <w:numId w:val="12"/>
        </w:numPr>
        <w:tabs>
          <w:tab w:val="clear" w:pos="1080"/>
          <w:tab w:val="num" w:pos="1276"/>
        </w:tabs>
        <w:ind w:left="709"/>
        <w:rPr>
          <w:rFonts w:cstheme="minorHAnsi"/>
        </w:rPr>
      </w:pPr>
      <w:r w:rsidRPr="00496FC6">
        <w:rPr>
          <w:rFonts w:cstheme="minorHAnsi"/>
        </w:rPr>
        <w:t>units or shares in a third country fund that is comparable to a short-term MMF; and</w:t>
      </w:r>
    </w:p>
    <w:p w14:paraId="2E3F95FA" w14:textId="409E77E9" w:rsidR="00DF03A6" w:rsidRPr="00496FC6" w:rsidRDefault="00DF03A6">
      <w:pPr>
        <w:pStyle w:val="ListParagraph"/>
        <w:numPr>
          <w:ilvl w:val="0"/>
          <w:numId w:val="12"/>
        </w:numPr>
        <w:tabs>
          <w:tab w:val="clear" w:pos="1080"/>
          <w:tab w:val="num" w:pos="1276"/>
        </w:tabs>
        <w:ind w:left="709"/>
        <w:rPr>
          <w:rFonts w:cstheme="minorHAnsi"/>
        </w:rPr>
      </w:pPr>
      <w:r w:rsidRPr="00496FC6">
        <w:rPr>
          <w:rFonts w:cstheme="minorHAnsi"/>
        </w:rPr>
        <w:t xml:space="preserve">trade </w:t>
      </w:r>
      <w:proofErr w:type="gramStart"/>
      <w:r w:rsidRPr="00496FC6">
        <w:rPr>
          <w:rFonts w:cstheme="minorHAnsi"/>
        </w:rPr>
        <w:t>receivables, if</w:t>
      </w:r>
      <w:proofErr w:type="gramEnd"/>
      <w:r w:rsidRPr="00496FC6">
        <w:rPr>
          <w:rFonts w:cstheme="minorHAnsi"/>
        </w:rPr>
        <w:t xml:space="preserve"> the conditions in MIFIDPRU 6.3.3R are met. </w:t>
      </w:r>
    </w:p>
    <w:p w14:paraId="1A6AF24C" w14:textId="78935BEB" w:rsidR="00DF03A6" w:rsidRPr="00496FC6" w:rsidRDefault="00DF03A6" w:rsidP="00DF03A6">
      <w:pPr>
        <w:ind w:left="0"/>
        <w:rPr>
          <w:rFonts w:cstheme="minorHAnsi"/>
        </w:rPr>
      </w:pPr>
      <w:r w:rsidRPr="00496FC6">
        <w:rPr>
          <w:rFonts w:cstheme="minorHAnsi"/>
        </w:rPr>
        <w:t xml:space="preserve">In this respect, </w:t>
      </w:r>
      <w:r w:rsidR="006776FB" w:rsidRPr="00BB75FC">
        <w:rPr>
          <w:rFonts w:cstheme="minorHAnsi"/>
        </w:rPr>
        <w:t xml:space="preserve">the </w:t>
      </w:r>
      <w:r w:rsidR="003F03D3">
        <w:rPr>
          <w:rFonts w:cstheme="minorHAnsi"/>
        </w:rPr>
        <w:t>Group</w:t>
      </w:r>
      <w:r w:rsidR="006776FB" w:rsidRPr="00BB75FC">
        <w:rPr>
          <w:rFonts w:cstheme="minorHAnsi"/>
        </w:rPr>
        <w:t>’s</w:t>
      </w:r>
      <w:r w:rsidRPr="00496FC6">
        <w:rPr>
          <w:rFonts w:cstheme="minorHAnsi"/>
        </w:rPr>
        <w:t xml:space="preserve"> core liquid assets as </w:t>
      </w:r>
      <w:proofErr w:type="gramStart"/>
      <w:r w:rsidRPr="00496FC6">
        <w:rPr>
          <w:rFonts w:cstheme="minorHAnsi"/>
        </w:rPr>
        <w:t>at</w:t>
      </w:r>
      <w:proofErr w:type="gramEnd"/>
      <w:r w:rsidRPr="00496FC6">
        <w:rPr>
          <w:rFonts w:cstheme="minorHAnsi"/>
        </w:rPr>
        <w:t xml:space="preserve"> </w:t>
      </w:r>
      <w:r w:rsidR="006776FB">
        <w:rPr>
          <w:rFonts w:cstheme="minorHAnsi"/>
        </w:rPr>
        <w:t>31 December 202</w:t>
      </w:r>
      <w:r w:rsidR="0066439F">
        <w:rPr>
          <w:rFonts w:cstheme="minorHAnsi"/>
        </w:rPr>
        <w:t>3</w:t>
      </w:r>
      <w:r w:rsidRPr="00496FC6">
        <w:rPr>
          <w:rFonts w:cstheme="minorHAnsi"/>
        </w:rPr>
        <w:t xml:space="preserve"> were well above the 1/3 of the </w:t>
      </w:r>
      <w:r w:rsidR="00704A79">
        <w:rPr>
          <w:rFonts w:cstheme="minorHAnsi"/>
        </w:rPr>
        <w:t>F</w:t>
      </w:r>
      <w:r w:rsidRPr="00496FC6">
        <w:rPr>
          <w:rFonts w:cstheme="minorHAnsi"/>
        </w:rPr>
        <w:t xml:space="preserve">ixed </w:t>
      </w:r>
      <w:r w:rsidR="00704A79">
        <w:rPr>
          <w:rFonts w:cstheme="minorHAnsi"/>
        </w:rPr>
        <w:t>O</w:t>
      </w:r>
      <w:r w:rsidRPr="00496FC6">
        <w:rPr>
          <w:rFonts w:cstheme="minorHAnsi"/>
        </w:rPr>
        <w:t xml:space="preserve">verheads </w:t>
      </w:r>
      <w:r w:rsidR="00704A79">
        <w:rPr>
          <w:rFonts w:cstheme="minorHAnsi"/>
        </w:rPr>
        <w:t>R</w:t>
      </w:r>
      <w:r w:rsidRPr="00496FC6">
        <w:rPr>
          <w:rFonts w:cstheme="minorHAnsi"/>
        </w:rPr>
        <w:t xml:space="preserve">equirement as indicated in the table below: </w:t>
      </w:r>
    </w:p>
    <w:p w14:paraId="00881AC7" w14:textId="52488615" w:rsidR="00DF03A6" w:rsidRPr="004B3AEA" w:rsidRDefault="00DF03A6" w:rsidP="00DF03A6">
      <w:pPr>
        <w:spacing w:before="240" w:after="0"/>
        <w:ind w:left="0"/>
        <w:rPr>
          <w:rFonts w:cstheme="minorHAnsi"/>
          <w:b/>
          <w:bCs/>
          <w:i/>
          <w:iCs/>
        </w:rPr>
      </w:pPr>
      <w:bookmarkStart w:id="68" w:name="_Toc81926857"/>
      <w:bookmarkStart w:id="69" w:name="_Toc93044822"/>
      <w:bookmarkStart w:id="70" w:name="_Toc119407007"/>
      <w:r w:rsidRPr="004B3AEA">
        <w:rPr>
          <w:rFonts w:cstheme="minorHAnsi"/>
          <w:b/>
          <w:bCs/>
          <w:i/>
          <w:iCs/>
        </w:rPr>
        <w:t xml:space="preserve">Table </w:t>
      </w:r>
      <w:r w:rsidRPr="004B3AEA">
        <w:rPr>
          <w:rFonts w:cstheme="minorHAnsi"/>
          <w:b/>
          <w:bCs/>
          <w:i/>
          <w:iCs/>
        </w:rPr>
        <w:fldChar w:fldCharType="begin"/>
      </w:r>
      <w:r w:rsidRPr="00496FC6">
        <w:rPr>
          <w:rFonts w:cstheme="minorHAnsi"/>
          <w:b/>
        </w:rPr>
        <w:instrText xml:space="preserve"> SEQ Table \* ARABIC </w:instrText>
      </w:r>
      <w:r w:rsidRPr="004B3AEA">
        <w:rPr>
          <w:rFonts w:cstheme="minorHAnsi"/>
          <w:b/>
          <w:bCs/>
          <w:i/>
          <w:iCs/>
        </w:rPr>
        <w:fldChar w:fldCharType="separate"/>
      </w:r>
      <w:r w:rsidR="005C7385">
        <w:rPr>
          <w:rFonts w:cstheme="minorHAnsi"/>
          <w:b/>
          <w:noProof/>
        </w:rPr>
        <w:t>8</w:t>
      </w:r>
      <w:r w:rsidRPr="004B3AEA">
        <w:rPr>
          <w:rFonts w:cstheme="minorHAnsi"/>
          <w:b/>
          <w:bCs/>
          <w:i/>
          <w:iCs/>
        </w:rPr>
        <w:fldChar w:fldCharType="end"/>
      </w:r>
      <w:r w:rsidRPr="004B3AEA">
        <w:rPr>
          <w:rFonts w:cstheme="minorHAnsi"/>
          <w:b/>
          <w:bCs/>
          <w:i/>
          <w:iCs/>
        </w:rPr>
        <w:t>: Liquidity Requirements</w:t>
      </w:r>
      <w:bookmarkEnd w:id="68"/>
      <w:bookmarkEnd w:id="69"/>
      <w:bookmarkEnd w:id="70"/>
    </w:p>
    <w:tbl>
      <w:tblPr>
        <w:tblStyle w:val="TableGrid"/>
        <w:tblW w:w="0" w:type="auto"/>
        <w:tblLook w:val="04A0" w:firstRow="1" w:lastRow="0" w:firstColumn="1" w:lastColumn="0" w:noHBand="0" w:noVBand="1"/>
      </w:tblPr>
      <w:tblGrid>
        <w:gridCol w:w="6644"/>
        <w:gridCol w:w="2372"/>
      </w:tblGrid>
      <w:tr w:rsidR="00DF03A6" w:rsidRPr="00496FC6" w14:paraId="4FA09C5C" w14:textId="77777777" w:rsidTr="001B34AE">
        <w:trPr>
          <w:trHeight w:val="283"/>
        </w:trPr>
        <w:tc>
          <w:tcPr>
            <w:tcW w:w="6644" w:type="dxa"/>
            <w:shd w:val="clear" w:color="auto" w:fill="C00000"/>
            <w:vAlign w:val="center"/>
          </w:tcPr>
          <w:p w14:paraId="0077F6E0" w14:textId="77777777" w:rsidR="00DF03A6" w:rsidRPr="00496FC6" w:rsidRDefault="00DF03A6" w:rsidP="00DF03A6">
            <w:pPr>
              <w:spacing w:after="0"/>
              <w:ind w:left="33"/>
              <w:rPr>
                <w:rFonts w:cstheme="minorHAnsi"/>
                <w:b/>
                <w:bCs/>
                <w:color w:val="FFFFFF" w:themeColor="background1"/>
                <w:lang w:val="en-US"/>
              </w:rPr>
            </w:pPr>
            <w:r w:rsidRPr="00496FC6">
              <w:rPr>
                <w:rFonts w:cstheme="minorHAnsi"/>
                <w:b/>
                <w:bCs/>
                <w:color w:val="FFFFFF" w:themeColor="background1"/>
                <w:lang w:val="en-US"/>
              </w:rPr>
              <w:t>Item</w:t>
            </w:r>
          </w:p>
        </w:tc>
        <w:tc>
          <w:tcPr>
            <w:tcW w:w="2372" w:type="dxa"/>
            <w:shd w:val="clear" w:color="auto" w:fill="C00000"/>
          </w:tcPr>
          <w:p w14:paraId="154693CB" w14:textId="2CEF1E50" w:rsidR="00DF03A6" w:rsidRPr="00496FC6" w:rsidRDefault="00B423A3" w:rsidP="00DF03A6">
            <w:pPr>
              <w:spacing w:after="0"/>
              <w:ind w:left="33"/>
              <w:jc w:val="center"/>
              <w:rPr>
                <w:rFonts w:cstheme="minorHAnsi"/>
                <w:b/>
                <w:bCs/>
                <w:color w:val="FFFFFF" w:themeColor="background1"/>
                <w:lang w:val="en-US"/>
              </w:rPr>
            </w:pPr>
            <w:r w:rsidRPr="00496FC6">
              <w:rPr>
                <w:rFonts w:cstheme="minorHAnsi"/>
                <w:b/>
                <w:bCs/>
                <w:color w:val="FFFFFF" w:themeColor="background1"/>
              </w:rPr>
              <w:t>£</w:t>
            </w:r>
            <w:r w:rsidR="00DF03A6" w:rsidRPr="00496FC6">
              <w:rPr>
                <w:rFonts w:cstheme="minorHAnsi"/>
                <w:b/>
                <w:bCs/>
                <w:color w:val="FFFFFF" w:themeColor="background1"/>
                <w:lang w:val="en-US"/>
              </w:rPr>
              <w:t>’000</w:t>
            </w:r>
          </w:p>
        </w:tc>
      </w:tr>
      <w:tr w:rsidR="00DF03A6" w:rsidRPr="00496FC6" w14:paraId="17950DB9" w14:textId="77777777" w:rsidTr="001B34AE">
        <w:trPr>
          <w:trHeight w:val="283"/>
        </w:trPr>
        <w:tc>
          <w:tcPr>
            <w:tcW w:w="6644" w:type="dxa"/>
          </w:tcPr>
          <w:p w14:paraId="192435A7" w14:textId="6E6D4A81" w:rsidR="00DF03A6" w:rsidRPr="00496FC6" w:rsidRDefault="00DF03A6" w:rsidP="00DF03A6">
            <w:pPr>
              <w:spacing w:after="0"/>
              <w:ind w:left="33"/>
              <w:rPr>
                <w:rFonts w:cstheme="minorHAnsi"/>
                <w:b/>
                <w:bCs/>
                <w:lang w:val="en-US"/>
              </w:rPr>
            </w:pPr>
            <w:r w:rsidRPr="00496FC6">
              <w:rPr>
                <w:rFonts w:cstheme="minorHAnsi"/>
                <w:b/>
                <w:bCs/>
                <w:lang w:val="en-US"/>
              </w:rPr>
              <w:t>Total Core Liquid Assets</w:t>
            </w:r>
          </w:p>
        </w:tc>
        <w:tc>
          <w:tcPr>
            <w:tcW w:w="2372" w:type="dxa"/>
          </w:tcPr>
          <w:p w14:paraId="1D2B0CC1" w14:textId="7208D2FE" w:rsidR="00DF03A6" w:rsidRPr="00496FC6" w:rsidRDefault="004541D2" w:rsidP="00DF03A6">
            <w:pPr>
              <w:spacing w:after="0"/>
              <w:ind w:left="33"/>
              <w:jc w:val="center"/>
              <w:rPr>
                <w:rFonts w:cstheme="minorHAnsi"/>
                <w:b/>
                <w:bCs/>
                <w:lang w:val="en-US"/>
              </w:rPr>
            </w:pPr>
            <w:r>
              <w:rPr>
                <w:rFonts w:cstheme="minorHAnsi"/>
                <w:b/>
                <w:bCs/>
                <w:lang w:val="en-US"/>
              </w:rPr>
              <w:t>4</w:t>
            </w:r>
            <w:r w:rsidR="0066439F">
              <w:rPr>
                <w:rFonts w:cstheme="minorHAnsi"/>
                <w:b/>
                <w:bCs/>
                <w:lang w:val="en-US"/>
              </w:rPr>
              <w:t>5,096</w:t>
            </w:r>
          </w:p>
        </w:tc>
      </w:tr>
      <w:tr w:rsidR="00DF03A6" w:rsidRPr="00496FC6" w14:paraId="51BB7F85" w14:textId="77777777" w:rsidTr="001B34AE">
        <w:trPr>
          <w:trHeight w:val="283"/>
        </w:trPr>
        <w:tc>
          <w:tcPr>
            <w:tcW w:w="6644" w:type="dxa"/>
          </w:tcPr>
          <w:p w14:paraId="17EF93E5" w14:textId="2A81634F" w:rsidR="00DF03A6" w:rsidRPr="00496FC6" w:rsidRDefault="00DF03A6" w:rsidP="00DF03A6">
            <w:pPr>
              <w:spacing w:after="0"/>
              <w:ind w:left="0"/>
              <w:rPr>
                <w:rFonts w:cstheme="minorHAnsi"/>
                <w:b/>
                <w:bCs/>
                <w:lang w:val="en-US"/>
              </w:rPr>
            </w:pPr>
            <w:r w:rsidRPr="00496FC6">
              <w:rPr>
                <w:rFonts w:cstheme="minorHAnsi"/>
                <w:b/>
                <w:bCs/>
                <w:lang w:val="en-US"/>
              </w:rPr>
              <w:t xml:space="preserve">Basic Requirement (1/3 of Fixed Overheads Requirement) </w:t>
            </w:r>
          </w:p>
        </w:tc>
        <w:tc>
          <w:tcPr>
            <w:tcW w:w="2372" w:type="dxa"/>
          </w:tcPr>
          <w:p w14:paraId="5D098837" w14:textId="2DB314C2" w:rsidR="00DF03A6" w:rsidRPr="00496FC6" w:rsidRDefault="00DD1E4F" w:rsidP="00DF03A6">
            <w:pPr>
              <w:spacing w:after="0"/>
              <w:ind w:left="33"/>
              <w:jc w:val="center"/>
              <w:rPr>
                <w:rFonts w:cstheme="minorHAnsi"/>
                <w:b/>
                <w:bCs/>
                <w:lang w:val="en-US"/>
              </w:rPr>
            </w:pPr>
            <w:r>
              <w:rPr>
                <w:rFonts w:cstheme="minorHAnsi"/>
                <w:b/>
                <w:bCs/>
                <w:lang w:val="en-US"/>
              </w:rPr>
              <w:t>5,</w:t>
            </w:r>
            <w:r w:rsidR="0066439F">
              <w:rPr>
                <w:rFonts w:cstheme="minorHAnsi"/>
                <w:b/>
                <w:bCs/>
                <w:lang w:val="en-US"/>
              </w:rPr>
              <w:t>921</w:t>
            </w:r>
          </w:p>
        </w:tc>
      </w:tr>
      <w:tr w:rsidR="002B5D18" w:rsidRPr="00496FC6" w14:paraId="64BD3DD6" w14:textId="77777777" w:rsidTr="000F7FFA">
        <w:trPr>
          <w:trHeight w:val="283"/>
        </w:trPr>
        <w:tc>
          <w:tcPr>
            <w:tcW w:w="6644" w:type="dxa"/>
            <w:vAlign w:val="bottom"/>
          </w:tcPr>
          <w:p w14:paraId="71519B61" w14:textId="6B8AB444" w:rsidR="002B5D18" w:rsidRPr="00496FC6" w:rsidRDefault="002B5D18" w:rsidP="002B5D18">
            <w:pPr>
              <w:spacing w:after="0"/>
              <w:ind w:left="33"/>
              <w:rPr>
                <w:rFonts w:cstheme="minorHAnsi"/>
                <w:b/>
                <w:bCs/>
                <w:lang w:val="en-US"/>
              </w:rPr>
            </w:pPr>
            <w:r w:rsidRPr="00DD5950">
              <w:rPr>
                <w:rFonts w:cstheme="minorHAnsi"/>
              </w:rPr>
              <w:t>Additional Liquidity Requirement (Liquidity Stress Test)</w:t>
            </w:r>
          </w:p>
        </w:tc>
        <w:tc>
          <w:tcPr>
            <w:tcW w:w="2372" w:type="dxa"/>
            <w:shd w:val="clear" w:color="auto" w:fill="auto"/>
            <w:vAlign w:val="bottom"/>
          </w:tcPr>
          <w:p w14:paraId="62C2C2EF" w14:textId="2864E0C7" w:rsidR="002B5D18" w:rsidRDefault="0066439F" w:rsidP="002B5D18">
            <w:pPr>
              <w:spacing w:after="0"/>
              <w:ind w:left="33"/>
              <w:jc w:val="center"/>
              <w:rPr>
                <w:rFonts w:cstheme="minorHAnsi"/>
                <w:b/>
                <w:bCs/>
                <w:lang w:val="en-US"/>
              </w:rPr>
            </w:pPr>
            <w:r>
              <w:rPr>
                <w:rFonts w:cstheme="minorHAnsi"/>
                <w:b/>
                <w:bCs/>
                <w:lang w:val="en-US"/>
              </w:rPr>
              <w:t>296</w:t>
            </w:r>
          </w:p>
        </w:tc>
      </w:tr>
      <w:tr w:rsidR="002B5D18" w:rsidRPr="00496FC6" w14:paraId="23F78168" w14:textId="77777777" w:rsidTr="000F7FFA">
        <w:trPr>
          <w:trHeight w:val="283"/>
        </w:trPr>
        <w:tc>
          <w:tcPr>
            <w:tcW w:w="6644" w:type="dxa"/>
            <w:shd w:val="clear" w:color="auto" w:fill="auto"/>
            <w:vAlign w:val="bottom"/>
          </w:tcPr>
          <w:p w14:paraId="047C0943" w14:textId="043CF46A" w:rsidR="002B5D18" w:rsidRPr="00496FC6" w:rsidRDefault="002B5D18" w:rsidP="002B5D18">
            <w:pPr>
              <w:spacing w:after="0"/>
              <w:ind w:left="33"/>
              <w:rPr>
                <w:rFonts w:cstheme="minorHAnsi"/>
                <w:b/>
                <w:bCs/>
                <w:lang w:val="en-US"/>
              </w:rPr>
            </w:pPr>
            <w:r w:rsidRPr="00FC149F">
              <w:rPr>
                <w:rFonts w:cstheme="minorHAnsi"/>
              </w:rPr>
              <w:t>Additional Liquidity Requirement (Wind-down)</w:t>
            </w:r>
          </w:p>
        </w:tc>
        <w:tc>
          <w:tcPr>
            <w:tcW w:w="2372" w:type="dxa"/>
            <w:shd w:val="clear" w:color="auto" w:fill="auto"/>
            <w:vAlign w:val="bottom"/>
          </w:tcPr>
          <w:p w14:paraId="257C1327" w14:textId="31793D35" w:rsidR="002B5D18" w:rsidRDefault="002B5D18" w:rsidP="002B5D18">
            <w:pPr>
              <w:spacing w:after="0"/>
              <w:ind w:left="33"/>
              <w:jc w:val="center"/>
              <w:rPr>
                <w:rFonts w:cstheme="minorHAnsi"/>
                <w:b/>
                <w:bCs/>
                <w:lang w:val="en-US"/>
              </w:rPr>
            </w:pPr>
            <w:r w:rsidRPr="00FC149F">
              <w:rPr>
                <w:rFonts w:cstheme="minorHAnsi"/>
              </w:rPr>
              <w:t>-</w:t>
            </w:r>
          </w:p>
        </w:tc>
      </w:tr>
      <w:tr w:rsidR="002B5D18" w:rsidRPr="00496FC6" w14:paraId="39DF7697" w14:textId="77777777" w:rsidTr="000F7FFA">
        <w:trPr>
          <w:trHeight w:val="283"/>
        </w:trPr>
        <w:tc>
          <w:tcPr>
            <w:tcW w:w="6644" w:type="dxa"/>
            <w:vAlign w:val="bottom"/>
          </w:tcPr>
          <w:p w14:paraId="3033B45D" w14:textId="132DE4A9" w:rsidR="002B5D18" w:rsidRPr="00496FC6" w:rsidRDefault="002B5D18" w:rsidP="002B5D18">
            <w:pPr>
              <w:spacing w:after="0"/>
              <w:ind w:left="33"/>
              <w:rPr>
                <w:rFonts w:cstheme="minorHAnsi"/>
                <w:b/>
                <w:bCs/>
                <w:lang w:val="en-US"/>
              </w:rPr>
            </w:pPr>
            <w:r w:rsidRPr="00AD773C">
              <w:rPr>
                <w:rFonts w:cstheme="minorHAnsi"/>
                <w:b/>
                <w:bCs/>
              </w:rPr>
              <w:t>Total Liquidity Requirement</w:t>
            </w:r>
          </w:p>
        </w:tc>
        <w:tc>
          <w:tcPr>
            <w:tcW w:w="2372" w:type="dxa"/>
            <w:shd w:val="clear" w:color="auto" w:fill="auto"/>
            <w:vAlign w:val="center"/>
          </w:tcPr>
          <w:p w14:paraId="4A9B10C7" w14:textId="569511EE" w:rsidR="002B5D18" w:rsidRDefault="002B5D18" w:rsidP="002B5D18">
            <w:pPr>
              <w:spacing w:after="0"/>
              <w:ind w:left="33"/>
              <w:jc w:val="center"/>
              <w:rPr>
                <w:rFonts w:cstheme="minorHAnsi"/>
                <w:b/>
                <w:bCs/>
                <w:lang w:val="en-US"/>
              </w:rPr>
            </w:pPr>
            <w:r>
              <w:rPr>
                <w:rFonts w:cstheme="minorHAnsi"/>
                <w:b/>
              </w:rPr>
              <w:t>6,</w:t>
            </w:r>
            <w:r w:rsidR="0066439F">
              <w:rPr>
                <w:rFonts w:cstheme="minorHAnsi"/>
                <w:b/>
              </w:rPr>
              <w:t>217</w:t>
            </w:r>
          </w:p>
        </w:tc>
      </w:tr>
      <w:tr w:rsidR="005130EA" w:rsidRPr="00496FC6" w14:paraId="52C42322" w14:textId="77777777" w:rsidTr="001B34AE">
        <w:trPr>
          <w:trHeight w:val="283"/>
        </w:trPr>
        <w:tc>
          <w:tcPr>
            <w:tcW w:w="6644" w:type="dxa"/>
          </w:tcPr>
          <w:p w14:paraId="4391C9AB" w14:textId="5D036D82" w:rsidR="005130EA" w:rsidRPr="00496FC6" w:rsidRDefault="005130EA" w:rsidP="005130EA">
            <w:pPr>
              <w:spacing w:after="0"/>
              <w:ind w:left="33"/>
              <w:rPr>
                <w:rFonts w:cstheme="minorHAnsi"/>
                <w:b/>
                <w:bCs/>
                <w:lang w:val="en-US"/>
              </w:rPr>
            </w:pPr>
            <w:r w:rsidRPr="00496FC6">
              <w:rPr>
                <w:rFonts w:cstheme="minorHAnsi"/>
                <w:b/>
                <w:bCs/>
                <w:lang w:val="en-US"/>
              </w:rPr>
              <w:t>Surplus/(Deficit)</w:t>
            </w:r>
          </w:p>
        </w:tc>
        <w:tc>
          <w:tcPr>
            <w:tcW w:w="2372" w:type="dxa"/>
          </w:tcPr>
          <w:p w14:paraId="4AF276CB" w14:textId="20C2B259" w:rsidR="005130EA" w:rsidRPr="00496FC6" w:rsidRDefault="00E722C7" w:rsidP="005130EA">
            <w:pPr>
              <w:spacing w:after="0"/>
              <w:ind w:left="33"/>
              <w:jc w:val="center"/>
              <w:rPr>
                <w:rFonts w:cstheme="minorHAnsi"/>
                <w:b/>
                <w:bCs/>
                <w:lang w:val="en-US"/>
              </w:rPr>
            </w:pPr>
            <w:r>
              <w:rPr>
                <w:rFonts w:cstheme="minorHAnsi"/>
                <w:b/>
                <w:bCs/>
                <w:lang w:val="en-US"/>
              </w:rPr>
              <w:t>3</w:t>
            </w:r>
            <w:r w:rsidR="0066439F">
              <w:rPr>
                <w:rFonts w:cstheme="minorHAnsi"/>
                <w:b/>
                <w:bCs/>
                <w:lang w:val="en-US"/>
              </w:rPr>
              <w:t>8,879</w:t>
            </w:r>
          </w:p>
        </w:tc>
      </w:tr>
    </w:tbl>
    <w:p w14:paraId="4984C3F1" w14:textId="5AB84A9E" w:rsidR="00DF03A6" w:rsidRDefault="00DF03A6" w:rsidP="00DF03A6">
      <w:pPr>
        <w:spacing w:before="240"/>
        <w:ind w:left="0"/>
        <w:rPr>
          <w:rFonts w:cstheme="minorHAnsi"/>
        </w:rPr>
      </w:pPr>
      <w:r w:rsidRPr="00496FC6">
        <w:rPr>
          <w:rFonts w:cstheme="minorHAnsi"/>
        </w:rPr>
        <w:t xml:space="preserve"> </w:t>
      </w:r>
      <w:r w:rsidR="001470BC" w:rsidRPr="001470BC">
        <w:rPr>
          <w:rFonts w:cstheme="minorHAnsi"/>
        </w:rPr>
        <w:t xml:space="preserve">Further to the above, the </w:t>
      </w:r>
      <w:r w:rsidR="001470BC">
        <w:rPr>
          <w:rFonts w:cstheme="minorHAnsi"/>
        </w:rPr>
        <w:t>Group</w:t>
      </w:r>
      <w:r w:rsidR="001470BC" w:rsidRPr="001470BC">
        <w:rPr>
          <w:rFonts w:cstheme="minorHAnsi"/>
        </w:rPr>
        <w:t xml:space="preserve"> maintains adequate liquid assets to cover the one-third Fixed Overheads Requirement.</w:t>
      </w:r>
    </w:p>
    <w:p w14:paraId="0AA08735" w14:textId="6DB580E2" w:rsidR="00FC792B" w:rsidRDefault="00453DE0">
      <w:pPr>
        <w:pStyle w:val="Heading2"/>
        <w:numPr>
          <w:ilvl w:val="1"/>
          <w:numId w:val="2"/>
        </w:numPr>
        <w:rPr>
          <w:rFonts w:asciiTheme="minorHAnsi" w:hAnsiTheme="minorHAnsi" w:cstheme="minorBidi"/>
        </w:rPr>
      </w:pPr>
      <w:bookmarkStart w:id="71" w:name="_Toc361094603"/>
      <w:bookmarkStart w:id="72" w:name="_Toc139016584"/>
      <w:r w:rsidRPr="3498C462">
        <w:rPr>
          <w:rFonts w:asciiTheme="minorHAnsi" w:hAnsiTheme="minorHAnsi" w:cstheme="minorBidi"/>
        </w:rPr>
        <w:t>Internal Capital Adequacy and</w:t>
      </w:r>
      <w:r w:rsidR="004F4FD9" w:rsidRPr="3498C462">
        <w:rPr>
          <w:rFonts w:asciiTheme="minorHAnsi" w:hAnsiTheme="minorHAnsi" w:cstheme="minorBidi"/>
        </w:rPr>
        <w:t xml:space="preserve"> </w:t>
      </w:r>
      <w:r w:rsidR="003D1E81" w:rsidRPr="3498C462">
        <w:rPr>
          <w:rFonts w:asciiTheme="minorHAnsi" w:hAnsiTheme="minorHAnsi" w:cstheme="minorBidi"/>
        </w:rPr>
        <w:t xml:space="preserve">Risk </w:t>
      </w:r>
      <w:r w:rsidR="004F4FD9" w:rsidRPr="3498C462">
        <w:rPr>
          <w:rFonts w:asciiTheme="minorHAnsi" w:hAnsiTheme="minorHAnsi" w:cstheme="minorBidi"/>
        </w:rPr>
        <w:t>Assessment</w:t>
      </w:r>
      <w:r w:rsidR="003A41A9" w:rsidRPr="3498C462">
        <w:rPr>
          <w:rFonts w:asciiTheme="minorHAnsi" w:hAnsiTheme="minorHAnsi" w:cstheme="minorBidi"/>
        </w:rPr>
        <w:t xml:space="preserve"> </w:t>
      </w:r>
      <w:r w:rsidR="003D1E81" w:rsidRPr="3498C462">
        <w:rPr>
          <w:rFonts w:asciiTheme="minorHAnsi" w:hAnsiTheme="minorHAnsi" w:cstheme="minorBidi"/>
        </w:rPr>
        <w:t>Process</w:t>
      </w:r>
      <w:bookmarkEnd w:id="71"/>
      <w:bookmarkEnd w:id="72"/>
    </w:p>
    <w:p w14:paraId="22D73B13" w14:textId="0CC34E7F" w:rsidR="006849FC" w:rsidRDefault="004F4397" w:rsidP="006849FC">
      <w:pPr>
        <w:ind w:left="0"/>
      </w:pPr>
      <w:r>
        <w:br/>
      </w:r>
      <w:r w:rsidR="006849FC">
        <w:t xml:space="preserve">The purpose of capital is to provide sufficient resources to absorb unexpected losses over and above the ones that are expected in the normal course of business. The </w:t>
      </w:r>
      <w:r w:rsidR="002E12B6">
        <w:t>Group</w:t>
      </w:r>
      <w:r w:rsidR="006849FC">
        <w:t xml:space="preserve"> aims to maintain a minimum risk asset ratio which will ensure there is sufficient capital to support the </w:t>
      </w:r>
      <w:r w:rsidR="002E12B6">
        <w:t xml:space="preserve">Group </w:t>
      </w:r>
      <w:r w:rsidR="00E27407">
        <w:t xml:space="preserve">under normal and </w:t>
      </w:r>
      <w:r w:rsidR="006849FC">
        <w:t>during stressed conditions.</w:t>
      </w:r>
    </w:p>
    <w:p w14:paraId="3602153B" w14:textId="09F30168" w:rsidR="006849FC" w:rsidRDefault="00DE1D98" w:rsidP="006849FC">
      <w:pPr>
        <w:ind w:left="0"/>
      </w:pPr>
      <w:r>
        <w:t>T</w:t>
      </w:r>
      <w:r w:rsidR="006849FC">
        <w:t xml:space="preserve">he </w:t>
      </w:r>
      <w:r w:rsidR="002E12B6">
        <w:t>Group</w:t>
      </w:r>
      <w:r w:rsidR="006849FC">
        <w:t xml:space="preserve"> </w:t>
      </w:r>
      <w:r w:rsidR="00193E43">
        <w:t xml:space="preserve">has </w:t>
      </w:r>
      <w:r w:rsidR="006849FC">
        <w:t>establish</w:t>
      </w:r>
      <w:r w:rsidR="00193E43">
        <w:t>ed</w:t>
      </w:r>
      <w:r w:rsidR="006849FC">
        <w:t xml:space="preserve"> sound, effective and comprehensive arrangements, </w:t>
      </w:r>
      <w:proofErr w:type="gramStart"/>
      <w:r w:rsidR="006849FC">
        <w:t>strategies</w:t>
      </w:r>
      <w:proofErr w:type="gramEnd"/>
      <w:r w:rsidR="006849FC">
        <w:t xml:space="preserve"> and processes to assess and maintain on an ongoing basis the amounts, types and distribution of internal capital and liquid assets that </w:t>
      </w:r>
      <w:r w:rsidR="00193E43">
        <w:t>it</w:t>
      </w:r>
      <w:r w:rsidR="006849FC">
        <w:t xml:space="preserve"> consider</w:t>
      </w:r>
      <w:r w:rsidR="00193E43">
        <w:t>s</w:t>
      </w:r>
      <w:r w:rsidR="006849FC">
        <w:t xml:space="preserve"> adequate to cover the nature and level of risks which </w:t>
      </w:r>
      <w:r w:rsidR="00820DC8">
        <w:t>it</w:t>
      </w:r>
      <w:r w:rsidR="006849FC">
        <w:t xml:space="preserve"> may pose to others and to which the </w:t>
      </w:r>
      <w:r w:rsidR="00D14A5E">
        <w:t>Group</w:t>
      </w:r>
      <w:r w:rsidR="00820DC8">
        <w:t xml:space="preserve"> itself</w:t>
      </w:r>
      <w:r w:rsidR="006849FC">
        <w:t xml:space="preserve"> might be exposed</w:t>
      </w:r>
      <w:r w:rsidR="00E27407">
        <w:t xml:space="preserve"> to</w:t>
      </w:r>
      <w:r w:rsidR="006849FC">
        <w:t xml:space="preserve">. These arrangements, strategies and processes </w:t>
      </w:r>
      <w:r w:rsidR="00417AC9">
        <w:t>are</w:t>
      </w:r>
      <w:r w:rsidR="006849FC">
        <w:t xml:space="preserve"> appropriate and proportionate to the nature, </w:t>
      </w:r>
      <w:proofErr w:type="gramStart"/>
      <w:r w:rsidR="006849FC">
        <w:t>scale</w:t>
      </w:r>
      <w:proofErr w:type="gramEnd"/>
      <w:r w:rsidR="006849FC">
        <w:t xml:space="preserve"> and complexity of the activities of the </w:t>
      </w:r>
      <w:r w:rsidR="002E12B6">
        <w:t>Group</w:t>
      </w:r>
      <w:r w:rsidR="006849FC">
        <w:t xml:space="preserve"> and </w:t>
      </w:r>
      <w:r w:rsidR="00417AC9">
        <w:t>are</w:t>
      </w:r>
      <w:r w:rsidR="006849FC">
        <w:t xml:space="preserve"> subject to regular internal review.</w:t>
      </w:r>
    </w:p>
    <w:p w14:paraId="08F53D4C" w14:textId="3F890602" w:rsidR="006849FC" w:rsidRDefault="00F4060B" w:rsidP="006849FC">
      <w:pPr>
        <w:ind w:left="0"/>
      </w:pPr>
      <w:r>
        <w:t>The</w:t>
      </w:r>
      <w:r w:rsidR="006849FC">
        <w:t xml:space="preserve"> ICARA report </w:t>
      </w:r>
      <w:r w:rsidR="005C66C9">
        <w:t>presents</w:t>
      </w:r>
      <w:r w:rsidR="006849FC">
        <w:t xml:space="preserve"> the main business background aspects and developments of </w:t>
      </w:r>
      <w:r w:rsidR="002E12B6">
        <w:t>the Group</w:t>
      </w:r>
      <w:r w:rsidR="006849FC">
        <w:t xml:space="preserve">, a summary of the </w:t>
      </w:r>
      <w:r w:rsidR="002E12B6">
        <w:t>Group</w:t>
      </w:r>
      <w:r w:rsidR="006849FC">
        <w:t xml:space="preserve">’s business economic environment, the </w:t>
      </w:r>
      <w:r w:rsidR="002E12B6">
        <w:t>Group</w:t>
      </w:r>
      <w:r w:rsidR="006849FC">
        <w:t>’s financial summary for the previous and upcoming years, the business and strategic goals, organisational structure and the risk management framework, the overall assessment of the material risks as well as a forward-looking capital and liquidity planning</w:t>
      </w:r>
      <w:r w:rsidR="00C43FE2">
        <w:t xml:space="preserve"> assessment</w:t>
      </w:r>
      <w:r w:rsidR="006849FC">
        <w:t xml:space="preserve">.  </w:t>
      </w:r>
    </w:p>
    <w:p w14:paraId="7887A940" w14:textId="00A4D98C" w:rsidR="00EB3A5F" w:rsidRPr="008D0555" w:rsidRDefault="00662651" w:rsidP="00EB3A5F">
      <w:pPr>
        <w:spacing w:line="240" w:lineRule="auto"/>
        <w:ind w:left="0"/>
        <w:rPr>
          <w:rFonts w:cstheme="minorHAnsi"/>
        </w:rPr>
      </w:pPr>
      <w:r>
        <w:rPr>
          <w:rFonts w:cstheme="minorHAnsi"/>
        </w:rPr>
        <w:t xml:space="preserve">The </w:t>
      </w:r>
      <w:r w:rsidR="007D4216">
        <w:rPr>
          <w:rFonts w:cstheme="minorHAnsi"/>
        </w:rPr>
        <w:t xml:space="preserve">Group </w:t>
      </w:r>
      <w:r>
        <w:rPr>
          <w:rFonts w:cstheme="minorHAnsi"/>
        </w:rPr>
        <w:t>is required to comply with the</w:t>
      </w:r>
      <w:r w:rsidR="00EB3A5F" w:rsidRPr="008D0555">
        <w:rPr>
          <w:rFonts w:cstheme="minorHAnsi"/>
        </w:rPr>
        <w:t xml:space="preserve"> Overall Financial Adequacy Rule (OFAR)</w:t>
      </w:r>
      <w:r w:rsidR="002834E0">
        <w:rPr>
          <w:rFonts w:cstheme="minorHAnsi"/>
        </w:rPr>
        <w:t xml:space="preserve">. </w:t>
      </w:r>
      <w:r w:rsidR="00BE3C05">
        <w:rPr>
          <w:rFonts w:cstheme="minorHAnsi"/>
        </w:rPr>
        <w:t xml:space="preserve">The </w:t>
      </w:r>
      <w:r w:rsidR="00EB3A5F" w:rsidRPr="008D0555">
        <w:rPr>
          <w:rFonts w:cstheme="minorHAnsi"/>
        </w:rPr>
        <w:t xml:space="preserve">OFAR </w:t>
      </w:r>
      <w:r w:rsidR="00BE3C05" w:rsidRPr="00BE3C05">
        <w:rPr>
          <w:rFonts w:cstheme="minorHAnsi"/>
        </w:rPr>
        <w:t>require</w:t>
      </w:r>
      <w:r w:rsidR="00BE3C05">
        <w:rPr>
          <w:rFonts w:cstheme="minorHAnsi"/>
        </w:rPr>
        <w:t>s</w:t>
      </w:r>
      <w:r w:rsidR="00EB3A5F" w:rsidRPr="008D0555">
        <w:rPr>
          <w:rFonts w:cstheme="minorHAnsi"/>
        </w:rPr>
        <w:t xml:space="preserve"> the </w:t>
      </w:r>
      <w:r w:rsidR="002E12B6">
        <w:rPr>
          <w:rFonts w:cstheme="minorHAnsi"/>
        </w:rPr>
        <w:t>Group</w:t>
      </w:r>
      <w:r w:rsidR="00EB3A5F" w:rsidRPr="008D0555">
        <w:rPr>
          <w:rFonts w:cstheme="minorHAnsi"/>
        </w:rPr>
        <w:t xml:space="preserve">, </w:t>
      </w:r>
      <w:proofErr w:type="gramStart"/>
      <w:r w:rsidR="00EB3A5F" w:rsidRPr="008D0555">
        <w:rPr>
          <w:rFonts w:cstheme="minorHAnsi"/>
        </w:rPr>
        <w:t>at all times</w:t>
      </w:r>
      <w:proofErr w:type="gramEnd"/>
      <w:r w:rsidR="00EB3A5F" w:rsidRPr="008D0555">
        <w:rPr>
          <w:rFonts w:cstheme="minorHAnsi"/>
        </w:rPr>
        <w:t>, to hold adequate own funds and liquid assets to:</w:t>
      </w:r>
    </w:p>
    <w:p w14:paraId="0774F257" w14:textId="503C927D" w:rsidR="00EB3A5F" w:rsidRPr="008D0555" w:rsidRDefault="00EB3A5F">
      <w:pPr>
        <w:numPr>
          <w:ilvl w:val="0"/>
          <w:numId w:val="14"/>
        </w:numPr>
        <w:spacing w:after="160" w:line="240" w:lineRule="auto"/>
        <w:jc w:val="left"/>
        <w:rPr>
          <w:rFonts w:cstheme="minorHAnsi"/>
        </w:rPr>
      </w:pPr>
      <w:r w:rsidRPr="008D0555">
        <w:rPr>
          <w:rFonts w:cstheme="minorHAnsi"/>
        </w:rPr>
        <w:t xml:space="preserve">ensure it can remain viable throughout the economic cycle, with the ability to address any potential harm from its ongoing activities; and, </w:t>
      </w:r>
    </w:p>
    <w:p w14:paraId="393CA490" w14:textId="3ECCAAB7" w:rsidR="00EB3A5F" w:rsidRPr="00EB3A5F" w:rsidRDefault="00EB3A5F">
      <w:pPr>
        <w:numPr>
          <w:ilvl w:val="0"/>
          <w:numId w:val="14"/>
        </w:numPr>
        <w:spacing w:after="160" w:line="240" w:lineRule="auto"/>
        <w:jc w:val="left"/>
        <w:rPr>
          <w:rFonts w:cstheme="minorHAnsi"/>
        </w:rPr>
      </w:pPr>
      <w:r w:rsidRPr="008D0555">
        <w:rPr>
          <w:rFonts w:cstheme="minorHAnsi"/>
        </w:rPr>
        <w:t>allow its business to wind-down in an orderly way.</w:t>
      </w:r>
    </w:p>
    <w:p w14:paraId="5D983733" w14:textId="15101F01" w:rsidR="00EB3A5F" w:rsidRPr="008D0555" w:rsidRDefault="00EB3A5F" w:rsidP="00EB3A5F">
      <w:pPr>
        <w:spacing w:line="240" w:lineRule="auto"/>
        <w:ind w:left="0"/>
        <w:rPr>
          <w:rFonts w:cstheme="minorHAnsi"/>
        </w:rPr>
      </w:pPr>
      <w:r w:rsidRPr="008D0555">
        <w:rPr>
          <w:rFonts w:cstheme="minorHAnsi"/>
        </w:rPr>
        <w:t xml:space="preserve">The </w:t>
      </w:r>
      <w:r w:rsidR="002E12B6">
        <w:rPr>
          <w:rFonts w:cstheme="minorHAnsi"/>
        </w:rPr>
        <w:t>Group</w:t>
      </w:r>
      <w:r w:rsidRPr="008D0555">
        <w:rPr>
          <w:rFonts w:cstheme="minorHAnsi"/>
        </w:rPr>
        <w:t xml:space="preserve"> set</w:t>
      </w:r>
      <w:r w:rsidR="004548AB">
        <w:rPr>
          <w:rFonts w:cstheme="minorHAnsi"/>
        </w:rPr>
        <w:t>s</w:t>
      </w:r>
      <w:r w:rsidRPr="008D0555">
        <w:rPr>
          <w:rFonts w:cstheme="minorHAnsi"/>
        </w:rPr>
        <w:t xml:space="preserve"> </w:t>
      </w:r>
      <w:r w:rsidR="004548AB">
        <w:rPr>
          <w:rFonts w:cstheme="minorHAnsi"/>
        </w:rPr>
        <w:t>its</w:t>
      </w:r>
      <w:r w:rsidRPr="008D0555">
        <w:rPr>
          <w:rFonts w:cstheme="minorHAnsi"/>
        </w:rPr>
        <w:t xml:space="preserve"> liquid assets threshold requirement as the sum of the basic liquid assets requirement and the higher of:</w:t>
      </w:r>
    </w:p>
    <w:p w14:paraId="338A9ADC" w14:textId="241CA703" w:rsidR="00EB3A5F" w:rsidRPr="008D0555" w:rsidRDefault="00EB3A5F">
      <w:pPr>
        <w:pStyle w:val="ListParagraph"/>
        <w:numPr>
          <w:ilvl w:val="0"/>
          <w:numId w:val="15"/>
        </w:numPr>
        <w:spacing w:after="160" w:line="240" w:lineRule="auto"/>
        <w:jc w:val="left"/>
        <w:rPr>
          <w:rFonts w:cstheme="minorHAnsi"/>
        </w:rPr>
      </w:pPr>
      <w:r w:rsidRPr="008D0555">
        <w:rPr>
          <w:rFonts w:cstheme="minorHAnsi"/>
        </w:rPr>
        <w:lastRenderedPageBreak/>
        <w:t xml:space="preserve">the additional liquid assets necessary at any given point in time to fund ongoing operations, </w:t>
      </w:r>
      <w:proofErr w:type="gramStart"/>
      <w:r w:rsidRPr="008D0555">
        <w:rPr>
          <w:rFonts w:cstheme="minorHAnsi"/>
        </w:rPr>
        <w:t>taking into account</w:t>
      </w:r>
      <w:proofErr w:type="gramEnd"/>
      <w:r w:rsidRPr="008D0555">
        <w:rPr>
          <w:rFonts w:cstheme="minorHAnsi"/>
        </w:rPr>
        <w:t xml:space="preserve"> potential periods of financial stress during the economic cycle</w:t>
      </w:r>
      <w:r w:rsidR="00D87309">
        <w:rPr>
          <w:rFonts w:cstheme="minorHAnsi"/>
        </w:rPr>
        <w:t>,</w:t>
      </w:r>
      <w:r w:rsidRPr="008D0555">
        <w:rPr>
          <w:rFonts w:cstheme="minorHAnsi"/>
        </w:rPr>
        <w:t xml:space="preserve"> </w:t>
      </w:r>
    </w:p>
    <w:p w14:paraId="6763C302" w14:textId="77777777" w:rsidR="00EB3A5F" w:rsidRPr="008D0555" w:rsidRDefault="00EB3A5F">
      <w:pPr>
        <w:pStyle w:val="ListParagraph"/>
        <w:numPr>
          <w:ilvl w:val="0"/>
          <w:numId w:val="15"/>
        </w:numPr>
        <w:spacing w:after="160" w:line="240" w:lineRule="auto"/>
        <w:jc w:val="left"/>
        <w:rPr>
          <w:rFonts w:cstheme="minorHAnsi"/>
        </w:rPr>
      </w:pPr>
      <w:r w:rsidRPr="008D0555">
        <w:rPr>
          <w:rFonts w:cstheme="minorHAnsi"/>
        </w:rPr>
        <w:t xml:space="preserve">the additional liquid assets required to begin its orderly wind-down, </w:t>
      </w:r>
      <w:proofErr w:type="gramStart"/>
      <w:r w:rsidRPr="008D0555">
        <w:rPr>
          <w:rFonts w:cstheme="minorHAnsi"/>
        </w:rPr>
        <w:t>taking into account</w:t>
      </w:r>
      <w:proofErr w:type="gramEnd"/>
      <w:r w:rsidRPr="008D0555">
        <w:rPr>
          <w:rFonts w:cstheme="minorHAnsi"/>
        </w:rPr>
        <w:t xml:space="preserve"> inflows of liquid assets that can be reasonably expected to occur during the wind-down period.</w:t>
      </w:r>
    </w:p>
    <w:p w14:paraId="4267A964" w14:textId="3E68BC7E" w:rsidR="004548AB" w:rsidRDefault="004548AB" w:rsidP="004548AB">
      <w:pPr>
        <w:ind w:left="0"/>
      </w:pPr>
      <w:r>
        <w:t xml:space="preserve">The </w:t>
      </w:r>
      <w:r w:rsidR="002E12B6">
        <w:t>Group</w:t>
      </w:r>
      <w:r>
        <w:t xml:space="preserve"> recognises the importance of the ICARA and appreciates that it enables the </w:t>
      </w:r>
      <w:r w:rsidR="00D14A5E">
        <w:t>Group</w:t>
      </w:r>
      <w:r>
        <w:t xml:space="preserve"> to justify its business strategy and risk assessments in such a way </w:t>
      </w:r>
      <w:r w:rsidR="001F6BE4">
        <w:t xml:space="preserve">as </w:t>
      </w:r>
      <w:r>
        <w:t xml:space="preserve">to be more diligent in the inclusion of risk factors in the business design process </w:t>
      </w:r>
      <w:proofErr w:type="gramStart"/>
      <w:r>
        <w:t>and also</w:t>
      </w:r>
      <w:proofErr w:type="gramEnd"/>
      <w:r>
        <w:t xml:space="preserve"> to hold </w:t>
      </w:r>
      <w:r w:rsidR="00C04321">
        <w:t>adequate</w:t>
      </w:r>
      <w:r>
        <w:t xml:space="preserve"> capital </w:t>
      </w:r>
      <w:r w:rsidR="00D86BD2">
        <w:t>against</w:t>
      </w:r>
      <w:r>
        <w:t xml:space="preserve"> the gross risks to which it is exposed. </w:t>
      </w:r>
      <w:r w:rsidR="002B4852">
        <w:t>The</w:t>
      </w:r>
      <w:r>
        <w:t xml:space="preserve"> Board is committed to </w:t>
      </w:r>
      <w:r w:rsidR="00C31894">
        <w:t>reviewing</w:t>
      </w:r>
      <w:r w:rsidR="007A3522">
        <w:t xml:space="preserve"> the ICARA</w:t>
      </w:r>
      <w:r w:rsidR="007141BC">
        <w:t xml:space="preserve"> </w:t>
      </w:r>
      <w:r w:rsidR="00C724F5">
        <w:t>regularly</w:t>
      </w:r>
      <w:r w:rsidR="007A3522">
        <w:t>,</w:t>
      </w:r>
      <w:r>
        <w:t xml:space="preserve"> at least annually</w:t>
      </w:r>
      <w:r w:rsidR="007A3522">
        <w:t>,</w:t>
      </w:r>
      <w:r>
        <w:t xml:space="preserve"> to reflect the latest strategic plans and updates.</w:t>
      </w:r>
      <w:r w:rsidR="00CE7AC6">
        <w:t xml:space="preserve"> Furthermore, </w:t>
      </w:r>
      <w:r w:rsidR="007A092A">
        <w:t>t</w:t>
      </w:r>
      <w:r w:rsidR="00CE7AC6" w:rsidRPr="00CE7AC6">
        <w:t xml:space="preserve">he ICARA is embedded in the </w:t>
      </w:r>
      <w:proofErr w:type="gramStart"/>
      <w:r w:rsidR="00FF4D54">
        <w:t>Group’</w:t>
      </w:r>
      <w:r w:rsidR="00CE7AC6" w:rsidRPr="00CE7AC6">
        <w:t>s day</w:t>
      </w:r>
      <w:proofErr w:type="gramEnd"/>
      <w:r w:rsidR="00CE7AC6" w:rsidRPr="00CE7AC6">
        <w:t xml:space="preserve"> to day risk management process and is a key part of the monitoring and control of the risks the </w:t>
      </w:r>
      <w:r w:rsidR="00D14A5E">
        <w:t>Group</w:t>
      </w:r>
      <w:r w:rsidR="00CE7AC6" w:rsidRPr="00CE7AC6">
        <w:t xml:space="preserve"> faces. Its findings also drive the consideration of the regulatory capital the </w:t>
      </w:r>
      <w:r w:rsidR="00FF4D54">
        <w:t>Group</w:t>
      </w:r>
      <w:r w:rsidR="00CE7AC6" w:rsidRPr="00CE7AC6">
        <w:t xml:space="preserve"> must hold when the Board performs its capital planning, reporting, and budgeting.</w:t>
      </w:r>
    </w:p>
    <w:p w14:paraId="000CCA46" w14:textId="75C3087C" w:rsidR="00496642" w:rsidRDefault="00D1302D" w:rsidP="00521A05">
      <w:pPr>
        <w:ind w:left="0"/>
        <w:rPr>
          <w:rFonts w:cstheme="minorHAnsi"/>
        </w:rPr>
      </w:pPr>
      <w:r>
        <w:t>Through its ICARA process, the</w:t>
      </w:r>
      <w:r w:rsidR="008C7573">
        <w:t xml:space="preserve"> </w:t>
      </w:r>
      <w:r w:rsidR="005B33E9">
        <w:t>Group</w:t>
      </w:r>
      <w:r>
        <w:t xml:space="preserve"> has concluded </w:t>
      </w:r>
      <w:r w:rsidR="008C7573" w:rsidRPr="008C7573">
        <w:t xml:space="preserve">that </w:t>
      </w:r>
      <w:r w:rsidR="00AC7EBA">
        <w:t xml:space="preserve">its capital and liquid assets were above the respective thresholds calculated during the year-ended </w:t>
      </w:r>
      <w:r w:rsidR="00F52D57">
        <w:t xml:space="preserve">31 December </w:t>
      </w:r>
      <w:r w:rsidR="00AC7EBA">
        <w:t>202</w:t>
      </w:r>
      <w:r w:rsidR="0066439F">
        <w:t>3</w:t>
      </w:r>
      <w:r w:rsidR="00AC7EBA">
        <w:t xml:space="preserve">. Furthermore, </w:t>
      </w:r>
      <w:r w:rsidR="008C7573" w:rsidRPr="008C7573">
        <w:t xml:space="preserve">it holds sufficient financial resources to cover its capital requirements in stressed and normal conditions that might crystallise over the next three years. In addition, </w:t>
      </w:r>
      <w:r w:rsidR="008C7573">
        <w:t xml:space="preserve">it has concluded that the </w:t>
      </w:r>
      <w:r w:rsidR="00FF4D54">
        <w:t>Group</w:t>
      </w:r>
      <w:r w:rsidR="008C7573">
        <w:t xml:space="preserve"> </w:t>
      </w:r>
      <w:r w:rsidR="008C7573" w:rsidRPr="008C7573">
        <w:t xml:space="preserve">holds sufficient financial resources to implement an Orderly Wind Down </w:t>
      </w:r>
      <w:proofErr w:type="gramStart"/>
      <w:r w:rsidR="008C7573" w:rsidRPr="008C7573">
        <w:t>in the event that</w:t>
      </w:r>
      <w:proofErr w:type="gramEnd"/>
      <w:r w:rsidR="008C7573" w:rsidRPr="008C7573">
        <w:t xml:space="preserve"> this is required.</w:t>
      </w:r>
      <w:r w:rsidR="008C7573" w:rsidRPr="00230FC8">
        <w:t xml:space="preserve"> </w:t>
      </w:r>
      <w:r w:rsidR="00F22C4A">
        <w:t xml:space="preserve">This outcome has been determined through the various </w:t>
      </w:r>
      <w:r w:rsidR="00585ACF">
        <w:t xml:space="preserve">components </w:t>
      </w:r>
      <w:r w:rsidR="00F22C4A">
        <w:t xml:space="preserve">of the ICARA process, including </w:t>
      </w:r>
      <w:r w:rsidR="0073601D">
        <w:t xml:space="preserve">the </w:t>
      </w:r>
      <w:r w:rsidR="00AE3DE9">
        <w:t xml:space="preserve">financial projections and stress tests, </w:t>
      </w:r>
      <w:r w:rsidR="005C2CBE">
        <w:t>orderly</w:t>
      </w:r>
      <w:r w:rsidR="00F45891">
        <w:t xml:space="preserve"> wind-down planning, </w:t>
      </w:r>
      <w:r w:rsidR="001E16D1">
        <w:t>and the harm</w:t>
      </w:r>
      <w:r w:rsidR="006849FC">
        <w:t xml:space="preserve">-pose </w:t>
      </w:r>
      <w:r w:rsidR="001E16D1">
        <w:t xml:space="preserve">risk register </w:t>
      </w:r>
      <w:r w:rsidR="006849FC">
        <w:t xml:space="preserve">approach </w:t>
      </w:r>
      <w:r w:rsidR="0073601D">
        <w:t xml:space="preserve">to </w:t>
      </w:r>
      <w:r w:rsidR="006849FC">
        <w:t xml:space="preserve">identifying different potential risk events that may affect the </w:t>
      </w:r>
      <w:r w:rsidR="008B712C">
        <w:t>Group</w:t>
      </w:r>
      <w:r w:rsidR="006849FC">
        <w:t>’s overall capital adequacy position.</w:t>
      </w:r>
      <w:r w:rsidR="00496642" w:rsidRPr="009B1B1A">
        <w:rPr>
          <w:rFonts w:cstheme="minorHAnsi"/>
        </w:rPr>
        <w:t xml:space="preserve"> The </w:t>
      </w:r>
      <w:r w:rsidR="002E12B6">
        <w:rPr>
          <w:rFonts w:cstheme="minorHAnsi"/>
        </w:rPr>
        <w:t>Group</w:t>
      </w:r>
      <w:r w:rsidR="00496642" w:rsidRPr="009B1B1A">
        <w:rPr>
          <w:rFonts w:cstheme="minorHAnsi"/>
        </w:rPr>
        <w:t xml:space="preserve"> monitors </w:t>
      </w:r>
      <w:r w:rsidR="00521A05">
        <w:rPr>
          <w:rFonts w:cstheme="minorHAnsi"/>
        </w:rPr>
        <w:t>its capital and liquid asset</w:t>
      </w:r>
      <w:r w:rsidR="00496642" w:rsidRPr="009B1B1A">
        <w:rPr>
          <w:rFonts w:cstheme="minorHAnsi"/>
        </w:rPr>
        <w:t xml:space="preserve"> requirements to </w:t>
      </w:r>
      <w:proofErr w:type="gramStart"/>
      <w:r w:rsidR="00496642" w:rsidRPr="009B1B1A">
        <w:rPr>
          <w:rFonts w:cstheme="minorHAnsi"/>
        </w:rPr>
        <w:t>ensure compliance at all times</w:t>
      </w:r>
      <w:proofErr w:type="gramEnd"/>
      <w:r w:rsidR="00496642" w:rsidRPr="009B1B1A">
        <w:rPr>
          <w:rFonts w:cstheme="minorHAnsi"/>
        </w:rPr>
        <w:t xml:space="preserve">. </w:t>
      </w:r>
    </w:p>
    <w:p w14:paraId="3E4EE0CB" w14:textId="163BD27E" w:rsidR="00A62E59" w:rsidRPr="00EF1EE7" w:rsidRDefault="006849FC" w:rsidP="006849FC">
      <w:pPr>
        <w:ind w:left="0"/>
      </w:pPr>
      <w:r>
        <w:t xml:space="preserve">The ICARA </w:t>
      </w:r>
      <w:r w:rsidR="000C2AED">
        <w:t>r</w:t>
      </w:r>
      <w:r>
        <w:t>eport and capital planning for the year 202</w:t>
      </w:r>
      <w:r w:rsidR="0066439F">
        <w:t>3</w:t>
      </w:r>
      <w:r>
        <w:t xml:space="preserve"> has been prepared and approved by the Board. </w:t>
      </w:r>
      <w:r w:rsidR="00F803AC" w:rsidRPr="3498C462">
        <w:t xml:space="preserve"> </w:t>
      </w:r>
      <w:r>
        <w:t xml:space="preserve">The </w:t>
      </w:r>
      <w:r w:rsidR="00F803AC">
        <w:t xml:space="preserve">ICARA </w:t>
      </w:r>
      <w:r>
        <w:t xml:space="preserve">report is reviewed and updated </w:t>
      </w:r>
      <w:r w:rsidR="004E58F9">
        <w:t xml:space="preserve">at least </w:t>
      </w:r>
      <w:r>
        <w:t>annually</w:t>
      </w:r>
      <w:r w:rsidR="44F195FA">
        <w:t>.</w:t>
      </w:r>
    </w:p>
    <w:p w14:paraId="055DC04F" w14:textId="6DD90A96" w:rsidR="00DF03A6" w:rsidRPr="00496FC6" w:rsidRDefault="00D27BC4">
      <w:pPr>
        <w:pStyle w:val="Heading1"/>
        <w:numPr>
          <w:ilvl w:val="0"/>
          <w:numId w:val="13"/>
        </w:numPr>
        <w:spacing w:line="276" w:lineRule="auto"/>
        <w:rPr>
          <w:rFonts w:asciiTheme="minorHAnsi" w:hAnsiTheme="minorHAnsi" w:cstheme="minorBidi"/>
        </w:rPr>
      </w:pPr>
      <w:bookmarkStart w:id="73" w:name="_Toc1956211858"/>
      <w:bookmarkStart w:id="74" w:name="_Toc139016585"/>
      <w:r w:rsidRPr="24030BDA">
        <w:rPr>
          <w:rFonts w:asciiTheme="minorHAnsi" w:hAnsiTheme="minorHAnsi" w:cstheme="minorBidi"/>
        </w:rPr>
        <w:lastRenderedPageBreak/>
        <w:t>Remuneration</w:t>
      </w:r>
      <w:bookmarkEnd w:id="73"/>
      <w:bookmarkEnd w:id="74"/>
    </w:p>
    <w:p w14:paraId="164C9554" w14:textId="0E276F7D" w:rsidR="00CF6A7F" w:rsidRPr="00481841" w:rsidRDefault="00CF6A7F" w:rsidP="00481841">
      <w:pPr>
        <w:spacing w:before="120" w:after="120"/>
        <w:ind w:left="0"/>
        <w:rPr>
          <w:rFonts w:cstheme="minorHAnsi"/>
          <w:lang w:val="en-US"/>
        </w:rPr>
      </w:pPr>
      <w:r w:rsidRPr="00481841">
        <w:rPr>
          <w:rFonts w:cstheme="minorHAnsi"/>
          <w:lang w:val="en-US"/>
        </w:rPr>
        <w:t xml:space="preserve">As a non-SNI </w:t>
      </w:r>
      <w:r w:rsidR="00183175" w:rsidRPr="00481841">
        <w:rPr>
          <w:rFonts w:cstheme="minorHAnsi"/>
          <w:lang w:val="en-US"/>
        </w:rPr>
        <w:t xml:space="preserve">investment </w:t>
      </w:r>
      <w:r w:rsidRPr="00481841">
        <w:rPr>
          <w:rFonts w:cstheme="minorHAnsi"/>
          <w:lang w:val="en-US"/>
        </w:rPr>
        <w:t xml:space="preserve">firm, the </w:t>
      </w:r>
      <w:r w:rsidR="00D36C4B" w:rsidRPr="00481841">
        <w:rPr>
          <w:rFonts w:cstheme="minorHAnsi"/>
          <w:lang w:val="en-US"/>
        </w:rPr>
        <w:t>Group</w:t>
      </w:r>
      <w:r w:rsidRPr="00481841">
        <w:rPr>
          <w:rFonts w:cstheme="minorHAnsi"/>
          <w:lang w:val="en-US"/>
        </w:rPr>
        <w:t xml:space="preserve"> is required to disclose certain information on its remuneration policy and practices as well as certain quantitative aggregated information about the remuneration awarded to its </w:t>
      </w:r>
      <w:r w:rsidRPr="00481841" w:rsidDel="00967321">
        <w:rPr>
          <w:rFonts w:cstheme="minorHAnsi"/>
          <w:lang w:val="en-US"/>
        </w:rPr>
        <w:t>staff</w:t>
      </w:r>
      <w:r w:rsidRPr="00481841">
        <w:rPr>
          <w:rFonts w:cstheme="minorHAnsi"/>
          <w:lang w:val="en-US"/>
        </w:rPr>
        <w:t xml:space="preserve"> in respect the </w:t>
      </w:r>
      <w:r w:rsidR="00D36C4B" w:rsidRPr="00481841">
        <w:rPr>
          <w:rFonts w:cstheme="minorHAnsi"/>
          <w:lang w:val="en-US"/>
        </w:rPr>
        <w:t>Group</w:t>
      </w:r>
      <w:r w:rsidRPr="00481841">
        <w:rPr>
          <w:rFonts w:cstheme="minorHAnsi"/>
          <w:lang w:val="en-US"/>
        </w:rPr>
        <w:t xml:space="preserve">’s financial year ended 31 December </w:t>
      </w:r>
      <w:r w:rsidR="56BAD144" w:rsidRPr="00481841">
        <w:rPr>
          <w:rFonts w:cstheme="minorHAnsi"/>
          <w:lang w:val="en-US"/>
        </w:rPr>
        <w:t>202</w:t>
      </w:r>
      <w:r w:rsidR="0066439F">
        <w:rPr>
          <w:rFonts w:cstheme="minorHAnsi"/>
          <w:lang w:val="en-US"/>
        </w:rPr>
        <w:t>3</w:t>
      </w:r>
      <w:r w:rsidR="56BAD144" w:rsidRPr="00481841">
        <w:rPr>
          <w:rFonts w:cstheme="minorHAnsi"/>
          <w:lang w:val="en-US"/>
        </w:rPr>
        <w:t xml:space="preserve">. The definition of “staff” includes employees of the </w:t>
      </w:r>
      <w:r w:rsidR="00C824D3" w:rsidRPr="00481841">
        <w:rPr>
          <w:rFonts w:cstheme="minorHAnsi"/>
          <w:lang w:val="en-US"/>
        </w:rPr>
        <w:t xml:space="preserve">Group </w:t>
      </w:r>
      <w:r w:rsidR="56BAD144" w:rsidRPr="00481841">
        <w:rPr>
          <w:rFonts w:cstheme="minorHAnsi"/>
          <w:lang w:val="en-US"/>
        </w:rPr>
        <w:t xml:space="preserve">itself, secondees into the </w:t>
      </w:r>
      <w:r w:rsidR="00C824D3" w:rsidRPr="00481841">
        <w:rPr>
          <w:rFonts w:cstheme="minorHAnsi"/>
          <w:lang w:val="en-US"/>
        </w:rPr>
        <w:t>Group</w:t>
      </w:r>
      <w:r w:rsidR="56BAD144" w:rsidRPr="00481841">
        <w:rPr>
          <w:rFonts w:cstheme="minorHAnsi"/>
          <w:lang w:val="en-US"/>
        </w:rPr>
        <w:t xml:space="preserve"> from other group entities, together with employees of other group entities where these employees are identified as MRTs of the </w:t>
      </w:r>
      <w:r w:rsidR="00C824D3" w:rsidRPr="00481841">
        <w:rPr>
          <w:rFonts w:cstheme="minorHAnsi"/>
          <w:lang w:val="en-US"/>
        </w:rPr>
        <w:t>Group</w:t>
      </w:r>
      <w:r w:rsidR="56BAD144" w:rsidRPr="00481841">
        <w:rPr>
          <w:rFonts w:cstheme="minorHAnsi"/>
          <w:lang w:val="en-US"/>
        </w:rPr>
        <w:t xml:space="preserve">. </w:t>
      </w:r>
    </w:p>
    <w:p w14:paraId="7FA8CEC7" w14:textId="04AA0174" w:rsidR="00CF6A7F" w:rsidRPr="00481841" w:rsidRDefault="56BAD144" w:rsidP="00481841">
      <w:pPr>
        <w:spacing w:before="120" w:after="120"/>
        <w:ind w:left="0"/>
        <w:rPr>
          <w:rFonts w:cstheme="minorHAnsi"/>
          <w:lang w:val="en-US"/>
        </w:rPr>
      </w:pPr>
      <w:r w:rsidRPr="00481841">
        <w:rPr>
          <w:rFonts w:cstheme="minorHAnsi"/>
          <w:lang w:val="en-US"/>
        </w:rPr>
        <w:t xml:space="preserve">The </w:t>
      </w:r>
      <w:r w:rsidR="00D36C4B" w:rsidRPr="00481841">
        <w:rPr>
          <w:rFonts w:cstheme="minorHAnsi"/>
          <w:lang w:val="en-US"/>
        </w:rPr>
        <w:t>Group</w:t>
      </w:r>
      <w:r w:rsidRPr="00481841">
        <w:rPr>
          <w:rFonts w:cstheme="minorHAnsi"/>
          <w:lang w:val="en-US"/>
        </w:rPr>
        <w:t xml:space="preserve"> has in place a remuneration policy (the “</w:t>
      </w:r>
      <w:r w:rsidR="20B0179F" w:rsidRPr="00481841">
        <w:rPr>
          <w:rFonts w:cstheme="minorHAnsi"/>
          <w:lang w:val="en-US"/>
        </w:rPr>
        <w:t xml:space="preserve">Remuneration </w:t>
      </w:r>
      <w:r w:rsidRPr="00481841">
        <w:rPr>
          <w:rFonts w:cstheme="minorHAnsi"/>
          <w:lang w:val="en-US"/>
        </w:rPr>
        <w:t xml:space="preserve">Policy”) in line with the requirements set by </w:t>
      </w:r>
      <w:r w:rsidR="5D959C74" w:rsidRPr="00481841">
        <w:rPr>
          <w:rFonts w:cstheme="minorHAnsi"/>
          <w:lang w:val="en-US"/>
        </w:rPr>
        <w:t xml:space="preserve">the </w:t>
      </w:r>
      <w:r w:rsidRPr="00481841">
        <w:rPr>
          <w:rFonts w:cstheme="minorHAnsi"/>
          <w:lang w:val="en-US"/>
        </w:rPr>
        <w:t xml:space="preserve">FCA. The Policy reflects the current organisational structure and is proportionate to the size and activities of the </w:t>
      </w:r>
      <w:r w:rsidR="00D36C4B" w:rsidRPr="00481841">
        <w:rPr>
          <w:rFonts w:cstheme="minorHAnsi"/>
          <w:lang w:val="en-US"/>
        </w:rPr>
        <w:t>Group</w:t>
      </w:r>
      <w:r w:rsidRPr="00481841">
        <w:rPr>
          <w:rFonts w:cstheme="minorHAnsi"/>
          <w:lang w:val="en-US"/>
        </w:rPr>
        <w:t xml:space="preserve">. </w:t>
      </w:r>
    </w:p>
    <w:p w14:paraId="643DEB20" w14:textId="7E46C734" w:rsidR="00CF6A7F" w:rsidRPr="00481841" w:rsidRDefault="56BAD144" w:rsidP="00481841">
      <w:pPr>
        <w:spacing w:before="120" w:after="120"/>
        <w:ind w:left="0"/>
        <w:rPr>
          <w:rFonts w:cstheme="minorHAnsi"/>
          <w:lang w:val="en-US"/>
        </w:rPr>
      </w:pPr>
      <w:r w:rsidRPr="00481841">
        <w:rPr>
          <w:rFonts w:cstheme="minorHAnsi"/>
          <w:lang w:val="en-US"/>
        </w:rPr>
        <w:t xml:space="preserve">The </w:t>
      </w:r>
      <w:r w:rsidR="2DBAC319" w:rsidRPr="00481841">
        <w:rPr>
          <w:rFonts w:cstheme="minorHAnsi"/>
          <w:lang w:val="en-US"/>
        </w:rPr>
        <w:t xml:space="preserve">Remuneration </w:t>
      </w:r>
      <w:r w:rsidRPr="00481841">
        <w:rPr>
          <w:rFonts w:cstheme="minorHAnsi"/>
          <w:lang w:val="en-US"/>
        </w:rPr>
        <w:t xml:space="preserve">Policy is reviewed by the Board periodically and any changes to the </w:t>
      </w:r>
      <w:r w:rsidR="1CA0B46E" w:rsidRPr="00481841">
        <w:rPr>
          <w:rFonts w:cstheme="minorHAnsi"/>
          <w:lang w:val="en-US"/>
        </w:rPr>
        <w:t xml:space="preserve">Remuneration </w:t>
      </w:r>
      <w:r w:rsidRPr="00481841">
        <w:rPr>
          <w:rFonts w:cstheme="minorHAnsi"/>
          <w:lang w:val="en-US"/>
        </w:rPr>
        <w:t xml:space="preserve">Policy require its approval. The Board is supported by Compliance and Human Resources in the development and review of the </w:t>
      </w:r>
      <w:r w:rsidR="344681BE" w:rsidRPr="00481841">
        <w:rPr>
          <w:rFonts w:cstheme="minorHAnsi"/>
          <w:lang w:val="en-US"/>
        </w:rPr>
        <w:t xml:space="preserve">Remuneration </w:t>
      </w:r>
      <w:r w:rsidRPr="00481841">
        <w:rPr>
          <w:rFonts w:cstheme="minorHAnsi"/>
          <w:lang w:val="en-US"/>
        </w:rPr>
        <w:t xml:space="preserve">Policy and implementation of </w:t>
      </w:r>
      <w:r w:rsidR="565576D3" w:rsidRPr="00481841">
        <w:rPr>
          <w:rFonts w:cstheme="minorHAnsi"/>
          <w:lang w:val="en-US"/>
        </w:rPr>
        <w:t xml:space="preserve">such policy </w:t>
      </w:r>
      <w:r w:rsidRPr="00481841">
        <w:rPr>
          <w:rFonts w:cstheme="minorHAnsi"/>
          <w:lang w:val="en-US"/>
        </w:rPr>
        <w:t xml:space="preserve">is subject to central and independent internal review at least annually. Pursuant to MIFIDPRU 7.1.4(2) the requirement to establish a Risk, Remuneration and Nomination Committee does not apply to the </w:t>
      </w:r>
      <w:r w:rsidR="00CC41D5" w:rsidRPr="00481841">
        <w:rPr>
          <w:rFonts w:cstheme="minorHAnsi"/>
          <w:lang w:val="en-US"/>
        </w:rPr>
        <w:t>Group</w:t>
      </w:r>
      <w:r w:rsidRPr="00481841">
        <w:rPr>
          <w:rFonts w:cstheme="minorHAnsi"/>
          <w:lang w:val="en-US"/>
        </w:rPr>
        <w:t xml:space="preserve">. </w:t>
      </w:r>
    </w:p>
    <w:p w14:paraId="0CC9882D" w14:textId="20455C99" w:rsidR="00CF6A7F" w:rsidRPr="00512FFC" w:rsidRDefault="00DD593A" w:rsidP="00B06917">
      <w:pPr>
        <w:pStyle w:val="Heading2"/>
        <w:spacing w:before="240"/>
        <w:ind w:left="720"/>
        <w:rPr>
          <w:rFonts w:asciiTheme="minorHAnsi" w:eastAsia="Calibri" w:hAnsiTheme="minorHAnsi" w:cstheme="minorHAnsi"/>
        </w:rPr>
      </w:pPr>
      <w:bookmarkStart w:id="75" w:name="_Toc1036850259"/>
      <w:bookmarkStart w:id="76" w:name="_Toc139016586"/>
      <w:r w:rsidRPr="00512FFC">
        <w:rPr>
          <w:rFonts w:asciiTheme="minorHAnsi" w:eastAsia="Calibri" w:hAnsiTheme="minorHAnsi" w:cstheme="minorHAnsi"/>
        </w:rPr>
        <w:t>6.1</w:t>
      </w:r>
      <w:r w:rsidR="00B7643A" w:rsidRPr="00512FFC">
        <w:rPr>
          <w:rFonts w:asciiTheme="minorHAnsi" w:eastAsia="Calibri" w:hAnsiTheme="minorHAnsi" w:cstheme="minorHAnsi"/>
        </w:rPr>
        <w:t>.</w:t>
      </w:r>
      <w:r w:rsidR="56BAD144" w:rsidRPr="00512FFC">
        <w:rPr>
          <w:rFonts w:asciiTheme="minorHAnsi" w:eastAsia="Times New Roman" w:hAnsiTheme="minorHAnsi" w:cstheme="minorHAnsi"/>
          <w:sz w:val="14"/>
          <w:szCs w:val="14"/>
        </w:rPr>
        <w:t xml:space="preserve"> </w:t>
      </w:r>
      <w:r w:rsidR="56BAD144" w:rsidRPr="00512FFC">
        <w:rPr>
          <w:rFonts w:asciiTheme="minorHAnsi" w:eastAsia="Calibri" w:hAnsiTheme="minorHAnsi" w:cstheme="minorHAnsi"/>
        </w:rPr>
        <w:t>Remuneration Policy Principles</w:t>
      </w:r>
      <w:bookmarkEnd w:id="75"/>
      <w:bookmarkEnd w:id="76"/>
    </w:p>
    <w:p w14:paraId="43DA2E0B" w14:textId="5A49524B" w:rsidR="00CF6A7F" w:rsidRPr="00601D55" w:rsidRDefault="00D27BC4" w:rsidP="00601D55">
      <w:pPr>
        <w:ind w:left="0"/>
        <w:rPr>
          <w:rFonts w:ascii="Calibri" w:eastAsia="Calibri" w:hAnsi="Calibri" w:cs="Arial"/>
        </w:rPr>
      </w:pPr>
      <w:r w:rsidRPr="00512FFC">
        <w:rPr>
          <w:rFonts w:cstheme="minorHAnsi"/>
        </w:rPr>
        <w:br/>
      </w:r>
      <w:r w:rsidR="56BAD144" w:rsidRPr="00601D55">
        <w:rPr>
          <w:rFonts w:ascii="Calibri" w:eastAsia="Calibri" w:hAnsi="Calibri" w:cs="Arial"/>
        </w:rPr>
        <w:t xml:space="preserve">The Remuneration Policy is aligned to the </w:t>
      </w:r>
      <w:r w:rsidR="00F8306B" w:rsidRPr="00601D55">
        <w:rPr>
          <w:rFonts w:ascii="Calibri" w:eastAsia="Calibri" w:hAnsi="Calibri" w:cs="Arial"/>
        </w:rPr>
        <w:t>Group</w:t>
      </w:r>
      <w:r w:rsidR="56BAD144" w:rsidRPr="00601D55">
        <w:rPr>
          <w:rFonts w:ascii="Calibri" w:eastAsia="Calibri" w:hAnsi="Calibri" w:cs="Arial"/>
        </w:rPr>
        <w:t xml:space="preserve">’s business strategy and is designed to support the long-term interests of the </w:t>
      </w:r>
      <w:r w:rsidR="00F8306B" w:rsidRPr="00601D55">
        <w:rPr>
          <w:rFonts w:ascii="Calibri" w:eastAsia="Calibri" w:hAnsi="Calibri" w:cs="Arial"/>
        </w:rPr>
        <w:t>Group</w:t>
      </w:r>
      <w:r w:rsidR="56BAD144" w:rsidRPr="00601D55">
        <w:rPr>
          <w:rFonts w:ascii="Calibri" w:eastAsia="Calibri" w:hAnsi="Calibri" w:cs="Arial"/>
        </w:rPr>
        <w:t xml:space="preserve"> and its shareholders.</w:t>
      </w:r>
    </w:p>
    <w:p w14:paraId="7A77DB38" w14:textId="66DB122A" w:rsidR="00CF6A7F" w:rsidRPr="00601D55" w:rsidRDefault="56BAD144" w:rsidP="00601D55">
      <w:pPr>
        <w:ind w:left="0"/>
        <w:rPr>
          <w:rFonts w:ascii="Calibri" w:eastAsia="Calibri" w:hAnsi="Calibri" w:cs="Arial"/>
        </w:rPr>
      </w:pPr>
      <w:r w:rsidRPr="00601D55">
        <w:rPr>
          <w:rFonts w:ascii="Calibri" w:eastAsia="Calibri" w:hAnsi="Calibri" w:cs="Arial"/>
        </w:rPr>
        <w:t xml:space="preserve">The objective of the </w:t>
      </w:r>
      <w:r w:rsidR="00F8306B" w:rsidRPr="00601D55">
        <w:rPr>
          <w:rFonts w:ascii="Calibri" w:eastAsia="Calibri" w:hAnsi="Calibri" w:cs="Arial"/>
        </w:rPr>
        <w:t>Group</w:t>
      </w:r>
      <w:r w:rsidRPr="00601D55">
        <w:rPr>
          <w:rFonts w:ascii="Calibri" w:eastAsia="Calibri" w:hAnsi="Calibri" w:cs="Arial"/>
        </w:rPr>
        <w:t>’s remuneration policies and practi</w:t>
      </w:r>
      <w:r w:rsidR="00352616" w:rsidRPr="00601D55">
        <w:rPr>
          <w:rFonts w:ascii="Calibri" w:eastAsia="Calibri" w:hAnsi="Calibri" w:cs="Arial"/>
        </w:rPr>
        <w:t>c</w:t>
      </w:r>
      <w:r w:rsidRPr="00601D55">
        <w:rPr>
          <w:rFonts w:ascii="Calibri" w:eastAsia="Calibri" w:hAnsi="Calibri" w:cs="Arial"/>
        </w:rPr>
        <w:t xml:space="preserve">es is to establish, implement and maintain a culture that is consistent with and promotes, sound and effective risk management and does not encourage risk-taking, which is consistent with the risk profile of the </w:t>
      </w:r>
      <w:r w:rsidR="00F8306B" w:rsidRPr="00601D55">
        <w:rPr>
          <w:rFonts w:ascii="Calibri" w:eastAsia="Calibri" w:hAnsi="Calibri" w:cs="Arial"/>
        </w:rPr>
        <w:t>Group</w:t>
      </w:r>
      <w:r w:rsidRPr="00601D55">
        <w:rPr>
          <w:rFonts w:ascii="Calibri" w:eastAsia="Calibri" w:hAnsi="Calibri" w:cs="Arial"/>
        </w:rPr>
        <w:t xml:space="preserve"> and the services it provides to its clients.</w:t>
      </w:r>
    </w:p>
    <w:p w14:paraId="2CC49D5F" w14:textId="6B6BD5E4" w:rsidR="00CF6A7F" w:rsidRPr="00601D55" w:rsidRDefault="6C172A07" w:rsidP="00601D55">
      <w:pPr>
        <w:ind w:left="0"/>
        <w:rPr>
          <w:rFonts w:ascii="Calibri" w:eastAsia="Calibri" w:hAnsi="Calibri" w:cs="Arial"/>
        </w:rPr>
      </w:pPr>
      <w:r w:rsidRPr="00601D55">
        <w:rPr>
          <w:rFonts w:ascii="Calibri" w:eastAsia="Calibri" w:hAnsi="Calibri" w:cs="Arial"/>
        </w:rPr>
        <w:t xml:space="preserve">The </w:t>
      </w:r>
      <w:r w:rsidR="00F8306B" w:rsidRPr="00601D55">
        <w:rPr>
          <w:rFonts w:ascii="Calibri" w:eastAsia="Calibri" w:hAnsi="Calibri" w:cs="Arial"/>
        </w:rPr>
        <w:t>Group</w:t>
      </w:r>
      <w:r w:rsidR="56BAD144" w:rsidRPr="00601D55">
        <w:rPr>
          <w:rFonts w:ascii="Calibri" w:eastAsia="Calibri" w:hAnsi="Calibri" w:cs="Arial"/>
        </w:rPr>
        <w:t xml:space="preserve"> recognise</w:t>
      </w:r>
      <w:r w:rsidR="658B5C8A" w:rsidRPr="00601D55">
        <w:rPr>
          <w:rFonts w:ascii="Calibri" w:eastAsia="Calibri" w:hAnsi="Calibri" w:cs="Arial"/>
        </w:rPr>
        <w:t>s</w:t>
      </w:r>
      <w:r w:rsidR="56BAD144" w:rsidRPr="00601D55">
        <w:rPr>
          <w:rFonts w:ascii="Calibri" w:eastAsia="Calibri" w:hAnsi="Calibri" w:cs="Arial"/>
        </w:rPr>
        <w:t xml:space="preserve"> that remuneration gives </w:t>
      </w:r>
      <w:r w:rsidR="46012E17" w:rsidRPr="00601D55">
        <w:rPr>
          <w:rFonts w:ascii="Calibri" w:eastAsia="Calibri" w:hAnsi="Calibri" w:cs="Arial"/>
        </w:rPr>
        <w:t>it</w:t>
      </w:r>
      <w:r w:rsidR="56BAD144" w:rsidRPr="00601D55">
        <w:rPr>
          <w:rFonts w:ascii="Calibri" w:eastAsia="Calibri" w:hAnsi="Calibri" w:cs="Arial"/>
        </w:rPr>
        <w:t xml:space="preserve"> a competitive advantage in attracting, retaining, </w:t>
      </w:r>
      <w:proofErr w:type="gramStart"/>
      <w:r w:rsidR="56BAD144" w:rsidRPr="00601D55">
        <w:rPr>
          <w:rFonts w:ascii="Calibri" w:eastAsia="Calibri" w:hAnsi="Calibri" w:cs="Arial"/>
        </w:rPr>
        <w:t>rewarding</w:t>
      </w:r>
      <w:proofErr w:type="gramEnd"/>
      <w:r w:rsidR="56BAD144" w:rsidRPr="00601D55">
        <w:rPr>
          <w:rFonts w:ascii="Calibri" w:eastAsia="Calibri" w:hAnsi="Calibri" w:cs="Arial"/>
        </w:rPr>
        <w:t xml:space="preserve"> and sustaining consistently high levels of performance, productivity and results. </w:t>
      </w:r>
      <w:r w:rsidR="3D7C5D86" w:rsidRPr="00601D55">
        <w:rPr>
          <w:rFonts w:ascii="Calibri" w:eastAsia="Calibri" w:hAnsi="Calibri" w:cs="Arial"/>
        </w:rPr>
        <w:t>The</w:t>
      </w:r>
      <w:r w:rsidR="56BAD144" w:rsidRPr="00601D55">
        <w:rPr>
          <w:rFonts w:ascii="Calibri" w:eastAsia="Calibri" w:hAnsi="Calibri" w:cs="Arial"/>
        </w:rPr>
        <w:t xml:space="preserve"> </w:t>
      </w:r>
      <w:r w:rsidR="006105B7" w:rsidRPr="00601D55">
        <w:rPr>
          <w:rFonts w:ascii="Calibri" w:eastAsia="Calibri" w:hAnsi="Calibri" w:cs="Arial"/>
        </w:rPr>
        <w:t>Group</w:t>
      </w:r>
      <w:r w:rsidR="00CB3D70" w:rsidRPr="00601D55">
        <w:rPr>
          <w:rFonts w:ascii="Calibri" w:eastAsia="Calibri" w:hAnsi="Calibri" w:cs="Arial"/>
        </w:rPr>
        <w:t>’s staff</w:t>
      </w:r>
      <w:r w:rsidR="56BAD144" w:rsidRPr="00601D55">
        <w:rPr>
          <w:rFonts w:ascii="Calibri" w:eastAsia="Calibri" w:hAnsi="Calibri" w:cs="Arial"/>
        </w:rPr>
        <w:t xml:space="preserve"> are </w:t>
      </w:r>
      <w:r w:rsidR="0134483C" w:rsidRPr="00601D55">
        <w:rPr>
          <w:rFonts w:ascii="Calibri" w:eastAsia="Calibri" w:hAnsi="Calibri" w:cs="Arial"/>
        </w:rPr>
        <w:t>its</w:t>
      </w:r>
      <w:r w:rsidR="56BAD144" w:rsidRPr="00601D55">
        <w:rPr>
          <w:rFonts w:ascii="Calibri" w:eastAsia="Calibri" w:hAnsi="Calibri" w:cs="Arial"/>
        </w:rPr>
        <w:t xml:space="preserve"> greatest asset, and </w:t>
      </w:r>
      <w:r w:rsidR="046DE237" w:rsidRPr="00601D55">
        <w:rPr>
          <w:rFonts w:ascii="Calibri" w:eastAsia="Calibri" w:hAnsi="Calibri" w:cs="Arial"/>
        </w:rPr>
        <w:t xml:space="preserve">the </w:t>
      </w:r>
      <w:r w:rsidR="00F8306B" w:rsidRPr="00601D55">
        <w:rPr>
          <w:rFonts w:ascii="Calibri" w:eastAsia="Calibri" w:hAnsi="Calibri" w:cs="Arial"/>
        </w:rPr>
        <w:t>Group</w:t>
      </w:r>
      <w:r w:rsidR="046DE237" w:rsidRPr="00601D55">
        <w:rPr>
          <w:rFonts w:ascii="Calibri" w:eastAsia="Calibri" w:hAnsi="Calibri" w:cs="Arial"/>
        </w:rPr>
        <w:t xml:space="preserve">’s </w:t>
      </w:r>
      <w:r w:rsidR="56BAD144" w:rsidRPr="00601D55">
        <w:rPr>
          <w:rFonts w:ascii="Calibri" w:eastAsia="Calibri" w:hAnsi="Calibri" w:cs="Arial"/>
        </w:rPr>
        <w:t xml:space="preserve">policy is designed to ensure pay equitably across </w:t>
      </w:r>
      <w:r w:rsidR="532BCB4B" w:rsidRPr="00601D55">
        <w:rPr>
          <w:rFonts w:ascii="Calibri" w:eastAsia="Calibri" w:hAnsi="Calibri" w:cs="Arial"/>
        </w:rPr>
        <w:t xml:space="preserve">the </w:t>
      </w:r>
      <w:r w:rsidR="00C824D3" w:rsidRPr="00601D55">
        <w:rPr>
          <w:rFonts w:ascii="Calibri" w:eastAsia="Calibri" w:hAnsi="Calibri" w:cs="Arial"/>
        </w:rPr>
        <w:t>Group</w:t>
      </w:r>
      <w:r w:rsidR="56BAD144" w:rsidRPr="00601D55">
        <w:rPr>
          <w:rFonts w:ascii="Calibri" w:eastAsia="Calibri" w:hAnsi="Calibri" w:cs="Arial"/>
        </w:rPr>
        <w:t xml:space="preserve">. </w:t>
      </w:r>
    </w:p>
    <w:p w14:paraId="57AB4A9C" w14:textId="7A640B3E" w:rsidR="00601D55" w:rsidRPr="00601D55" w:rsidRDefault="51110659" w:rsidP="00601D55">
      <w:pPr>
        <w:ind w:left="0"/>
        <w:rPr>
          <w:rFonts w:ascii="Calibri" w:eastAsia="Calibri" w:hAnsi="Calibri" w:cs="Arial"/>
        </w:rPr>
      </w:pPr>
      <w:r w:rsidRPr="00601D55">
        <w:rPr>
          <w:rFonts w:ascii="Calibri" w:eastAsia="Calibri" w:hAnsi="Calibri" w:cs="Arial"/>
        </w:rPr>
        <w:t xml:space="preserve">The </w:t>
      </w:r>
      <w:r w:rsidR="00F8306B" w:rsidRPr="00601D55">
        <w:rPr>
          <w:rFonts w:ascii="Calibri" w:eastAsia="Calibri" w:hAnsi="Calibri" w:cs="Arial"/>
        </w:rPr>
        <w:t>Group</w:t>
      </w:r>
      <w:r w:rsidRPr="00601D55">
        <w:rPr>
          <w:rFonts w:ascii="Calibri" w:eastAsia="Calibri" w:hAnsi="Calibri" w:cs="Arial"/>
        </w:rPr>
        <w:t xml:space="preserve"> is</w:t>
      </w:r>
      <w:r w:rsidR="56BAD144" w:rsidRPr="00601D55">
        <w:rPr>
          <w:rFonts w:ascii="Calibri" w:eastAsia="Calibri" w:hAnsi="Calibri" w:cs="Arial"/>
        </w:rPr>
        <w:t xml:space="preserve"> committed to </w:t>
      </w:r>
      <w:r w:rsidR="3FF5E841" w:rsidRPr="00601D55">
        <w:rPr>
          <w:rFonts w:ascii="Calibri" w:eastAsia="Calibri" w:hAnsi="Calibri" w:cs="Arial"/>
        </w:rPr>
        <w:t xml:space="preserve">its </w:t>
      </w:r>
      <w:r w:rsidR="56BAD144" w:rsidRPr="00601D55">
        <w:rPr>
          <w:rFonts w:ascii="Calibri" w:eastAsia="Calibri" w:hAnsi="Calibri" w:cs="Arial"/>
        </w:rPr>
        <w:t>clients’ interests and through</w:t>
      </w:r>
      <w:r w:rsidR="32F2C33C" w:rsidRPr="00601D55">
        <w:rPr>
          <w:rFonts w:ascii="Calibri" w:eastAsia="Calibri" w:hAnsi="Calibri" w:cs="Arial"/>
        </w:rPr>
        <w:t xml:space="preserve"> its R</w:t>
      </w:r>
      <w:r w:rsidR="56BAD144" w:rsidRPr="00601D55">
        <w:rPr>
          <w:rFonts w:ascii="Calibri" w:eastAsia="Calibri" w:hAnsi="Calibri" w:cs="Arial"/>
        </w:rPr>
        <w:t xml:space="preserve">emuneration </w:t>
      </w:r>
      <w:r w:rsidR="488F3B76" w:rsidRPr="00601D55">
        <w:rPr>
          <w:rFonts w:ascii="Calibri" w:eastAsia="Calibri" w:hAnsi="Calibri" w:cs="Arial"/>
        </w:rPr>
        <w:t>P</w:t>
      </w:r>
      <w:r w:rsidR="56BAD144" w:rsidRPr="00601D55">
        <w:rPr>
          <w:rFonts w:ascii="Calibri" w:eastAsia="Calibri" w:hAnsi="Calibri" w:cs="Arial"/>
        </w:rPr>
        <w:t>olicy seek</w:t>
      </w:r>
      <w:r w:rsidR="2178F8D1" w:rsidRPr="00601D55">
        <w:rPr>
          <w:rFonts w:ascii="Calibri" w:eastAsia="Calibri" w:hAnsi="Calibri" w:cs="Arial"/>
        </w:rPr>
        <w:t>s</w:t>
      </w:r>
      <w:r w:rsidR="56BAD144" w:rsidRPr="00601D55">
        <w:rPr>
          <w:rFonts w:ascii="Calibri" w:eastAsia="Calibri" w:hAnsi="Calibri" w:cs="Arial"/>
        </w:rPr>
        <w:t xml:space="preserve"> to align the interests of </w:t>
      </w:r>
      <w:r w:rsidR="5CA97BEF" w:rsidRPr="00601D55">
        <w:rPr>
          <w:rFonts w:ascii="Calibri" w:eastAsia="Calibri" w:hAnsi="Calibri" w:cs="Arial"/>
        </w:rPr>
        <w:t xml:space="preserve">its </w:t>
      </w:r>
      <w:r w:rsidR="5B90A53D" w:rsidRPr="00601D55">
        <w:rPr>
          <w:rFonts w:ascii="Calibri" w:eastAsia="Calibri" w:hAnsi="Calibri" w:cs="Arial"/>
        </w:rPr>
        <w:t>staff</w:t>
      </w:r>
      <w:r w:rsidR="56BAD144" w:rsidRPr="00601D55">
        <w:rPr>
          <w:rFonts w:ascii="Calibri" w:eastAsia="Calibri" w:hAnsi="Calibri" w:cs="Arial"/>
        </w:rPr>
        <w:t xml:space="preserve"> by rewarding success while ensuring these arrangements do not encourage the taking of unnecessary risks. Our remuneration structure is comprised of fixed and variable remuneration, underpinned by company, business line and individual performance appraisal. </w:t>
      </w:r>
    </w:p>
    <w:p w14:paraId="3BB4DE43" w14:textId="33DCDCA9" w:rsidR="00962297" w:rsidRPr="00D35CED" w:rsidRDefault="56BAD144" w:rsidP="00B06917">
      <w:pPr>
        <w:pStyle w:val="Heading2"/>
        <w:spacing w:before="240"/>
        <w:ind w:left="720"/>
        <w:rPr>
          <w:rFonts w:asciiTheme="minorHAnsi" w:eastAsia="Calibri" w:hAnsiTheme="minorHAnsi" w:cstheme="minorHAnsi"/>
        </w:rPr>
      </w:pPr>
      <w:bookmarkStart w:id="77" w:name="_Toc1932884335"/>
      <w:bookmarkStart w:id="78" w:name="_Toc139016587"/>
      <w:r w:rsidRPr="00512FFC">
        <w:rPr>
          <w:rFonts w:asciiTheme="minorHAnsi" w:eastAsia="Calibri" w:hAnsiTheme="minorHAnsi" w:cstheme="minorHAnsi"/>
        </w:rPr>
        <w:t>6.2</w:t>
      </w:r>
      <w:r w:rsidR="00B7643A" w:rsidRPr="00512FFC">
        <w:rPr>
          <w:rFonts w:asciiTheme="minorHAnsi" w:eastAsia="Calibri" w:hAnsiTheme="minorHAnsi" w:cstheme="minorHAnsi"/>
        </w:rPr>
        <w:t>.</w:t>
      </w:r>
      <w:r w:rsidRPr="00512FFC">
        <w:rPr>
          <w:rFonts w:asciiTheme="minorHAnsi" w:eastAsia="Calibri" w:hAnsiTheme="minorHAnsi" w:cstheme="minorHAnsi"/>
        </w:rPr>
        <w:t xml:space="preserve"> Remuneration Committee</w:t>
      </w:r>
      <w:bookmarkEnd w:id="77"/>
      <w:bookmarkEnd w:id="78"/>
    </w:p>
    <w:p w14:paraId="3B845F53" w14:textId="77777777" w:rsidR="009A1EE5" w:rsidRDefault="009A1EE5" w:rsidP="00F8523E">
      <w:pPr>
        <w:spacing w:after="0"/>
        <w:ind w:left="0"/>
        <w:rPr>
          <w:rFonts w:cstheme="minorHAnsi"/>
        </w:rPr>
      </w:pPr>
    </w:p>
    <w:p w14:paraId="5DD522C3" w14:textId="2E8EE8C3" w:rsidR="00601D55" w:rsidRPr="00601D55" w:rsidRDefault="1203796F" w:rsidP="00601D55">
      <w:pPr>
        <w:ind w:left="0"/>
        <w:rPr>
          <w:rFonts w:cstheme="minorHAnsi"/>
        </w:rPr>
      </w:pPr>
      <w:r w:rsidRPr="00601D55">
        <w:rPr>
          <w:rFonts w:cstheme="minorHAnsi"/>
        </w:rPr>
        <w:t>As noted above, t</w:t>
      </w:r>
      <w:r w:rsidR="56BAD144" w:rsidRPr="00601D55">
        <w:rPr>
          <w:rFonts w:cstheme="minorHAnsi"/>
        </w:rPr>
        <w:t xml:space="preserve">here is no requirement for the </w:t>
      </w:r>
      <w:r w:rsidR="00870C96" w:rsidRPr="00601D55">
        <w:rPr>
          <w:rFonts w:cstheme="minorHAnsi"/>
        </w:rPr>
        <w:t>Group</w:t>
      </w:r>
      <w:r w:rsidR="56BAD144" w:rsidRPr="00601D55">
        <w:rPr>
          <w:rFonts w:cstheme="minorHAnsi"/>
        </w:rPr>
        <w:t>, due to</w:t>
      </w:r>
      <w:r w:rsidR="2D927242" w:rsidRPr="00601D55">
        <w:rPr>
          <w:rFonts w:cstheme="minorHAnsi"/>
        </w:rPr>
        <w:t xml:space="preserve"> its</w:t>
      </w:r>
      <w:r w:rsidR="56BAD144" w:rsidRPr="00601D55">
        <w:rPr>
          <w:rFonts w:cstheme="minorHAnsi"/>
        </w:rPr>
        <w:t xml:space="preserve"> size and non-SNI status, </w:t>
      </w:r>
      <w:r w:rsidR="6F120372" w:rsidRPr="00601D55">
        <w:rPr>
          <w:rFonts w:cstheme="minorHAnsi"/>
        </w:rPr>
        <w:t xml:space="preserve">to have </w:t>
      </w:r>
      <w:r w:rsidR="56BAD144" w:rsidRPr="00601D55">
        <w:rPr>
          <w:rFonts w:cstheme="minorHAnsi"/>
        </w:rPr>
        <w:t>a local Remuneration Committee, although ultimate oversight and approval of remuneration is provided by the</w:t>
      </w:r>
      <w:r w:rsidR="56E96F35" w:rsidRPr="00601D55">
        <w:rPr>
          <w:rFonts w:cstheme="minorHAnsi"/>
        </w:rPr>
        <w:t xml:space="preserve"> Lazard</w:t>
      </w:r>
      <w:r w:rsidR="00A97467" w:rsidRPr="00601D55">
        <w:rPr>
          <w:rFonts w:cstheme="minorHAnsi"/>
        </w:rPr>
        <w:t xml:space="preserve"> Compensation </w:t>
      </w:r>
      <w:r w:rsidR="56BAD144" w:rsidRPr="00601D55">
        <w:rPr>
          <w:rFonts w:cstheme="minorHAnsi"/>
        </w:rPr>
        <w:t xml:space="preserve">Committee. </w:t>
      </w:r>
    </w:p>
    <w:p w14:paraId="1BA29BCA" w14:textId="2BABAA4C" w:rsidR="00FA663D" w:rsidRPr="00B06917" w:rsidRDefault="56BAD144" w:rsidP="00B06917">
      <w:pPr>
        <w:pStyle w:val="Heading2"/>
        <w:spacing w:before="240" w:after="100" w:afterAutospacing="1"/>
        <w:ind w:left="720"/>
        <w:rPr>
          <w:rFonts w:asciiTheme="minorHAnsi" w:eastAsia="Calibri" w:hAnsiTheme="minorHAnsi" w:cstheme="minorHAnsi"/>
        </w:rPr>
      </w:pPr>
      <w:bookmarkStart w:id="79" w:name="_Toc1483675508"/>
      <w:bookmarkStart w:id="80" w:name="_Toc139016588"/>
      <w:r w:rsidRPr="00512FFC">
        <w:rPr>
          <w:rFonts w:asciiTheme="minorHAnsi" w:eastAsia="Calibri" w:hAnsiTheme="minorHAnsi" w:cstheme="minorHAnsi"/>
        </w:rPr>
        <w:t>6.3</w:t>
      </w:r>
      <w:r w:rsidR="00B7643A" w:rsidRPr="00512FFC">
        <w:rPr>
          <w:rFonts w:asciiTheme="minorHAnsi" w:eastAsia="Calibri" w:hAnsiTheme="minorHAnsi" w:cstheme="minorHAnsi"/>
        </w:rPr>
        <w:t>.</w:t>
      </w:r>
      <w:r w:rsidRPr="00512FFC">
        <w:rPr>
          <w:rFonts w:asciiTheme="minorHAnsi" w:eastAsia="Calibri" w:hAnsiTheme="minorHAnsi" w:cstheme="minorHAnsi"/>
        </w:rPr>
        <w:t xml:space="preserve"> Remuneration and Performance</w:t>
      </w:r>
      <w:bookmarkEnd w:id="79"/>
      <w:bookmarkEnd w:id="80"/>
    </w:p>
    <w:p w14:paraId="321F5B9C" w14:textId="67F26883" w:rsidR="00CF6A7F" w:rsidRPr="001B295D" w:rsidRDefault="56BAD144" w:rsidP="001B295D">
      <w:pPr>
        <w:spacing w:before="120" w:after="120"/>
        <w:ind w:left="0"/>
        <w:rPr>
          <w:rFonts w:cstheme="minorHAnsi"/>
          <w:lang w:val="en-US"/>
        </w:rPr>
      </w:pPr>
      <w:r w:rsidRPr="001B295D">
        <w:rPr>
          <w:rFonts w:cstheme="minorHAnsi"/>
          <w:lang w:val="en-US"/>
        </w:rPr>
        <w:t xml:space="preserve">The </w:t>
      </w:r>
      <w:r w:rsidR="004E2F7F" w:rsidRPr="001B295D">
        <w:rPr>
          <w:rFonts w:cstheme="minorHAnsi"/>
          <w:lang w:val="en-US"/>
        </w:rPr>
        <w:t>Group</w:t>
      </w:r>
      <w:r w:rsidRPr="001B295D">
        <w:rPr>
          <w:rFonts w:cstheme="minorHAnsi"/>
          <w:lang w:val="en-US"/>
        </w:rPr>
        <w:t xml:space="preserve">’s variable remuneration policy is designed to reward staff for their performance and their contribution to the success of their business unit and the </w:t>
      </w:r>
      <w:r w:rsidR="6CB9CFD9" w:rsidRPr="001B295D">
        <w:rPr>
          <w:rFonts w:cstheme="minorHAnsi"/>
          <w:lang w:val="en-US"/>
        </w:rPr>
        <w:t>c</w:t>
      </w:r>
      <w:r w:rsidRPr="001B295D">
        <w:rPr>
          <w:rFonts w:cstheme="minorHAnsi"/>
          <w:lang w:val="en-US"/>
        </w:rPr>
        <w:t xml:space="preserve">ompany. Variable remuneration is awarded in line with the </w:t>
      </w:r>
      <w:r w:rsidR="004E2F7F" w:rsidRPr="001B295D">
        <w:rPr>
          <w:rFonts w:cstheme="minorHAnsi"/>
          <w:lang w:val="en-US"/>
        </w:rPr>
        <w:t>Group</w:t>
      </w:r>
      <w:r w:rsidRPr="001B295D">
        <w:rPr>
          <w:rFonts w:cstheme="minorHAnsi"/>
          <w:lang w:val="en-US"/>
        </w:rPr>
        <w:t xml:space="preserve">’s performance, its business strategy and associated conduct risk as well as the </w:t>
      </w:r>
      <w:r w:rsidR="00D65C4C" w:rsidRPr="001B295D">
        <w:rPr>
          <w:rFonts w:cstheme="minorHAnsi"/>
          <w:lang w:val="en-US"/>
        </w:rPr>
        <w:t>long-term</w:t>
      </w:r>
      <w:r w:rsidRPr="001B295D">
        <w:rPr>
          <w:rFonts w:cstheme="minorHAnsi"/>
          <w:lang w:val="en-US"/>
        </w:rPr>
        <w:t xml:space="preserve"> goals of the </w:t>
      </w:r>
      <w:r w:rsidR="004E2F7F" w:rsidRPr="001B295D">
        <w:rPr>
          <w:rFonts w:cstheme="minorHAnsi"/>
          <w:lang w:val="en-US"/>
        </w:rPr>
        <w:t>Group</w:t>
      </w:r>
      <w:r w:rsidRPr="001B295D">
        <w:rPr>
          <w:rFonts w:cstheme="minorHAnsi"/>
          <w:lang w:val="en-US"/>
        </w:rPr>
        <w:t xml:space="preserve"> and </w:t>
      </w:r>
      <w:proofErr w:type="gramStart"/>
      <w:r w:rsidRPr="001B295D">
        <w:rPr>
          <w:rFonts w:cstheme="minorHAnsi"/>
          <w:lang w:val="en-US"/>
        </w:rPr>
        <w:t>takes into account</w:t>
      </w:r>
      <w:proofErr w:type="gramEnd"/>
      <w:r w:rsidRPr="001B295D">
        <w:rPr>
          <w:rFonts w:cstheme="minorHAnsi"/>
          <w:lang w:val="en-US"/>
        </w:rPr>
        <w:t xml:space="preserve"> the performance of the individual, the business unit and the </w:t>
      </w:r>
      <w:r w:rsidR="008F223E" w:rsidRPr="001B295D">
        <w:rPr>
          <w:rFonts w:cstheme="minorHAnsi"/>
          <w:lang w:val="en-US"/>
        </w:rPr>
        <w:t>LAML Group</w:t>
      </w:r>
      <w:r w:rsidRPr="001B295D">
        <w:rPr>
          <w:rFonts w:cstheme="minorHAnsi"/>
          <w:lang w:val="en-US"/>
        </w:rPr>
        <w:t xml:space="preserve"> or</w:t>
      </w:r>
      <w:r w:rsidR="731EC763" w:rsidRPr="001B295D">
        <w:rPr>
          <w:rFonts w:cstheme="minorHAnsi"/>
          <w:lang w:val="en-US"/>
        </w:rPr>
        <w:t xml:space="preserve"> </w:t>
      </w:r>
      <w:r w:rsidR="348DBC3D" w:rsidRPr="001B295D">
        <w:rPr>
          <w:rFonts w:cstheme="minorHAnsi"/>
          <w:lang w:val="en-US"/>
        </w:rPr>
        <w:t>Lazard Ltd and its</w:t>
      </w:r>
      <w:r w:rsidR="7778B632" w:rsidRPr="001B295D">
        <w:rPr>
          <w:rFonts w:cstheme="minorHAnsi"/>
          <w:lang w:val="en-US"/>
        </w:rPr>
        <w:t xml:space="preserve"> subsidiaries and affiliates </w:t>
      </w:r>
      <w:r w:rsidR="46B9958E" w:rsidRPr="001B295D">
        <w:rPr>
          <w:rFonts w:cstheme="minorHAnsi"/>
          <w:lang w:val="en-US"/>
        </w:rPr>
        <w:t xml:space="preserve">(the “Lazard Group”) </w:t>
      </w:r>
      <w:r w:rsidRPr="001B295D">
        <w:rPr>
          <w:rFonts w:cstheme="minorHAnsi"/>
          <w:lang w:val="en-US"/>
        </w:rPr>
        <w:t xml:space="preserve">overall. </w:t>
      </w:r>
    </w:p>
    <w:p w14:paraId="238B04A8" w14:textId="2B0EB370" w:rsidR="00CF6A7F" w:rsidRPr="001B295D" w:rsidRDefault="00870C96" w:rsidP="001B295D">
      <w:pPr>
        <w:spacing w:before="120" w:after="120"/>
        <w:ind w:left="0"/>
        <w:rPr>
          <w:rFonts w:cstheme="minorHAnsi"/>
          <w:lang w:val="en-US"/>
        </w:rPr>
      </w:pPr>
      <w:r w:rsidRPr="00481841">
        <w:rPr>
          <w:rFonts w:cstheme="minorHAnsi"/>
          <w:b/>
          <w:bCs/>
          <w:lang w:val="en-US"/>
        </w:rPr>
        <w:t>Group</w:t>
      </w:r>
      <w:r w:rsidR="56BAD144" w:rsidRPr="00481841">
        <w:rPr>
          <w:rFonts w:cstheme="minorHAnsi"/>
          <w:b/>
          <w:bCs/>
          <w:lang w:val="en-US"/>
        </w:rPr>
        <w:t xml:space="preserve"> Performance</w:t>
      </w:r>
      <w:r w:rsidR="56BAD144" w:rsidRPr="001B295D">
        <w:rPr>
          <w:rFonts w:cstheme="minorHAnsi"/>
          <w:lang w:val="en-US"/>
        </w:rPr>
        <w:t xml:space="preserve"> - the profitability of the </w:t>
      </w:r>
      <w:r w:rsidR="0EF84BD5" w:rsidRPr="001B295D">
        <w:rPr>
          <w:rFonts w:cstheme="minorHAnsi"/>
          <w:lang w:val="en-US"/>
        </w:rPr>
        <w:t xml:space="preserve">global </w:t>
      </w:r>
      <w:r w:rsidR="5FCC0BE0" w:rsidRPr="001B295D">
        <w:rPr>
          <w:rFonts w:cstheme="minorHAnsi"/>
          <w:lang w:val="en-US"/>
        </w:rPr>
        <w:t>Lazard</w:t>
      </w:r>
      <w:r w:rsidR="56BAD144" w:rsidRPr="001B295D">
        <w:rPr>
          <w:rFonts w:cstheme="minorHAnsi"/>
          <w:lang w:val="en-US"/>
        </w:rPr>
        <w:t xml:space="preserve"> Group and</w:t>
      </w:r>
      <w:r w:rsidR="4CDD12FC" w:rsidRPr="001B295D">
        <w:rPr>
          <w:rFonts w:cstheme="minorHAnsi"/>
          <w:lang w:val="en-US"/>
        </w:rPr>
        <w:t xml:space="preserve"> the</w:t>
      </w:r>
      <w:r w:rsidR="56BAD144" w:rsidRPr="001B295D">
        <w:rPr>
          <w:rFonts w:cstheme="minorHAnsi"/>
          <w:lang w:val="en-US"/>
        </w:rPr>
        <w:t xml:space="preserve"> </w:t>
      </w:r>
      <w:r w:rsidR="008F223E" w:rsidRPr="001B295D">
        <w:rPr>
          <w:rFonts w:cstheme="minorHAnsi"/>
          <w:lang w:val="en-US"/>
        </w:rPr>
        <w:t>LAML Group and business units</w:t>
      </w:r>
      <w:r w:rsidR="56BAD144" w:rsidRPr="001B295D">
        <w:rPr>
          <w:rFonts w:cstheme="minorHAnsi"/>
          <w:lang w:val="en-US"/>
        </w:rPr>
        <w:t xml:space="preserve"> with the variable bonus pool determined by the </w:t>
      </w:r>
      <w:r w:rsidR="008F223E" w:rsidRPr="001B295D">
        <w:rPr>
          <w:rFonts w:cstheme="minorHAnsi"/>
          <w:lang w:val="en-US"/>
        </w:rPr>
        <w:t>Group</w:t>
      </w:r>
      <w:r w:rsidR="56BAD144" w:rsidRPr="001B295D">
        <w:rPr>
          <w:rFonts w:cstheme="minorHAnsi"/>
          <w:lang w:val="en-US"/>
        </w:rPr>
        <w:t xml:space="preserve">’s publicly disclosed compensation ratio </w:t>
      </w:r>
      <w:proofErr w:type="gramStart"/>
      <w:r w:rsidR="56BAD144" w:rsidRPr="001B295D">
        <w:rPr>
          <w:rFonts w:cstheme="minorHAnsi"/>
          <w:lang w:val="en-US"/>
        </w:rPr>
        <w:t>targets</w:t>
      </w:r>
      <w:proofErr w:type="gramEnd"/>
    </w:p>
    <w:p w14:paraId="49034CB1" w14:textId="0C2DEF58" w:rsidR="00CF6A7F" w:rsidRPr="001B295D" w:rsidRDefault="56BAD144" w:rsidP="001B295D">
      <w:pPr>
        <w:spacing w:before="120" w:after="120"/>
        <w:ind w:left="0"/>
        <w:rPr>
          <w:rFonts w:cstheme="minorHAnsi"/>
          <w:lang w:val="en-US"/>
        </w:rPr>
      </w:pPr>
      <w:r w:rsidRPr="00481841">
        <w:rPr>
          <w:rFonts w:cstheme="minorHAnsi"/>
          <w:b/>
          <w:bCs/>
          <w:lang w:val="en-US"/>
        </w:rPr>
        <w:lastRenderedPageBreak/>
        <w:t>Business Unit Performance</w:t>
      </w:r>
      <w:r w:rsidRPr="001B295D">
        <w:rPr>
          <w:rFonts w:cstheme="minorHAnsi"/>
          <w:lang w:val="en-US"/>
        </w:rPr>
        <w:t xml:space="preserve"> – the performance of the business unit within the context of the broader performance</w:t>
      </w:r>
      <w:r w:rsidR="642B51C1" w:rsidRPr="001B295D">
        <w:rPr>
          <w:rFonts w:cstheme="minorHAnsi"/>
          <w:lang w:val="en-US"/>
        </w:rPr>
        <w:t xml:space="preserve"> of the</w:t>
      </w:r>
      <w:r w:rsidR="7ADE0B5B" w:rsidRPr="001B295D">
        <w:rPr>
          <w:rFonts w:cstheme="minorHAnsi"/>
          <w:lang w:val="en-US"/>
        </w:rPr>
        <w:t xml:space="preserve"> global</w:t>
      </w:r>
      <w:r w:rsidR="642B51C1" w:rsidRPr="001B295D">
        <w:rPr>
          <w:rFonts w:cstheme="minorHAnsi"/>
          <w:lang w:val="en-US"/>
        </w:rPr>
        <w:t xml:space="preserve"> Lazard Group</w:t>
      </w:r>
      <w:r w:rsidRPr="001B295D">
        <w:rPr>
          <w:rFonts w:cstheme="minorHAnsi"/>
          <w:lang w:val="en-US"/>
        </w:rPr>
        <w:t xml:space="preserve"> and dependent on the function of the business unit e.g. revenue where appropriate and non-financial measures (e.g. client feedback, building long-term client relationships, </w:t>
      </w:r>
      <w:r w:rsidR="00DE788E" w:rsidRPr="001B295D">
        <w:rPr>
          <w:rFonts w:cstheme="minorHAnsi"/>
          <w:lang w:val="en-US"/>
        </w:rPr>
        <w:t>culture contribution</w:t>
      </w:r>
      <w:r w:rsidR="008563CA" w:rsidRPr="001B295D">
        <w:rPr>
          <w:rFonts w:cstheme="minorHAnsi"/>
          <w:lang w:val="en-US"/>
        </w:rPr>
        <w:t>, development of talent</w:t>
      </w:r>
      <w:r w:rsidRPr="001B295D">
        <w:rPr>
          <w:rFonts w:cstheme="minorHAnsi"/>
          <w:lang w:val="en-US"/>
        </w:rPr>
        <w:t>).</w:t>
      </w:r>
    </w:p>
    <w:p w14:paraId="7B60B280" w14:textId="3A78C346" w:rsidR="00CF6A7F" w:rsidRPr="001B295D" w:rsidRDefault="56BAD144" w:rsidP="001B295D">
      <w:pPr>
        <w:spacing w:before="120" w:after="120"/>
        <w:ind w:left="0"/>
        <w:rPr>
          <w:rFonts w:cstheme="minorHAnsi"/>
          <w:lang w:val="en-US"/>
        </w:rPr>
      </w:pPr>
      <w:r w:rsidRPr="00481841">
        <w:rPr>
          <w:rFonts w:cstheme="minorHAnsi"/>
          <w:b/>
          <w:bCs/>
          <w:lang w:val="en-US"/>
        </w:rPr>
        <w:t>Individual Performance</w:t>
      </w:r>
      <w:r w:rsidRPr="001B295D">
        <w:rPr>
          <w:rFonts w:cstheme="minorHAnsi"/>
          <w:lang w:val="en-US"/>
        </w:rPr>
        <w:t xml:space="preserve"> – the assessment of an individual’s performance includes financial and non-financial criteria, including compliance with the</w:t>
      </w:r>
      <w:r w:rsidR="002B0992" w:rsidRPr="001B295D">
        <w:rPr>
          <w:rFonts w:cstheme="minorHAnsi"/>
          <w:lang w:val="en-US"/>
        </w:rPr>
        <w:t xml:space="preserve"> Group</w:t>
      </w:r>
      <w:r w:rsidRPr="001B295D">
        <w:rPr>
          <w:rFonts w:cstheme="minorHAnsi"/>
          <w:lang w:val="en-US"/>
        </w:rPr>
        <w:t xml:space="preserve">’s policies, </w:t>
      </w:r>
      <w:proofErr w:type="gramStart"/>
      <w:r w:rsidRPr="001B295D">
        <w:rPr>
          <w:rFonts w:cstheme="minorHAnsi"/>
          <w:lang w:val="en-US"/>
        </w:rPr>
        <w:t>procedures</w:t>
      </w:r>
      <w:proofErr w:type="gramEnd"/>
      <w:r w:rsidRPr="001B295D">
        <w:rPr>
          <w:rFonts w:cstheme="minorHAnsi"/>
          <w:lang w:val="en-US"/>
        </w:rPr>
        <w:t xml:space="preserve"> and external regulations as appropriate. This emphasis and balance of these two measures is dependent on the individual’s role within the </w:t>
      </w:r>
      <w:r w:rsidR="00870C96" w:rsidRPr="001B295D">
        <w:rPr>
          <w:rFonts w:cstheme="minorHAnsi"/>
          <w:lang w:val="en-US"/>
        </w:rPr>
        <w:t>Group</w:t>
      </w:r>
      <w:r w:rsidRPr="001B295D">
        <w:rPr>
          <w:rFonts w:cstheme="minorHAnsi"/>
          <w:lang w:val="en-US"/>
        </w:rPr>
        <w:t xml:space="preserve"> and is determined through the </w:t>
      </w:r>
      <w:r w:rsidR="002B0992" w:rsidRPr="001B295D">
        <w:rPr>
          <w:rFonts w:cstheme="minorHAnsi"/>
          <w:lang w:val="en-US"/>
        </w:rPr>
        <w:t>Group</w:t>
      </w:r>
      <w:r w:rsidRPr="001B295D">
        <w:rPr>
          <w:rFonts w:cstheme="minorHAnsi"/>
          <w:lang w:val="en-US"/>
        </w:rPr>
        <w:t xml:space="preserve">’s annual appraisal process. </w:t>
      </w:r>
    </w:p>
    <w:p w14:paraId="6F28D9E9" w14:textId="15F3FD4A" w:rsidR="00CF6A7F" w:rsidRPr="001B295D" w:rsidRDefault="56BAD144" w:rsidP="001B295D">
      <w:pPr>
        <w:spacing w:before="120" w:after="120"/>
        <w:ind w:left="0"/>
        <w:rPr>
          <w:rFonts w:cstheme="minorHAnsi"/>
          <w:lang w:val="en-US"/>
        </w:rPr>
      </w:pPr>
      <w:r w:rsidRPr="001B295D">
        <w:rPr>
          <w:rFonts w:cstheme="minorHAnsi"/>
          <w:lang w:val="en-US"/>
        </w:rPr>
        <w:t>This assessment will include a view on their individual contribution, which may include revenue generated by the individual, client interaction/services and collaboration with colleagues across the global network.</w:t>
      </w:r>
    </w:p>
    <w:p w14:paraId="6DD1E6BC" w14:textId="315F47C0" w:rsidR="00CF6A7F" w:rsidRPr="001B295D" w:rsidRDefault="56BAD144" w:rsidP="001B295D">
      <w:pPr>
        <w:spacing w:before="120" w:after="120"/>
        <w:ind w:left="0"/>
        <w:rPr>
          <w:rFonts w:cstheme="minorHAnsi"/>
          <w:lang w:val="en-US"/>
        </w:rPr>
      </w:pPr>
      <w:r w:rsidRPr="001B295D">
        <w:rPr>
          <w:rFonts w:cstheme="minorHAnsi"/>
          <w:lang w:val="en-US"/>
        </w:rPr>
        <w:t xml:space="preserve">For </w:t>
      </w:r>
      <w:r w:rsidR="0BC0FC83" w:rsidRPr="001B295D">
        <w:rPr>
          <w:rFonts w:cstheme="minorHAnsi"/>
          <w:lang w:val="en-US"/>
        </w:rPr>
        <w:t>staff</w:t>
      </w:r>
      <w:r w:rsidRPr="001B295D">
        <w:rPr>
          <w:rFonts w:cstheme="minorHAnsi"/>
          <w:lang w:val="en-US"/>
        </w:rPr>
        <w:t xml:space="preserve"> in non-revenue generating roles, their contribution will be assessed on quality of service and/or execution of work with internal or external parties. </w:t>
      </w:r>
    </w:p>
    <w:p w14:paraId="6B8FDBA0" w14:textId="52AF3036" w:rsidR="00CF6A7F" w:rsidRPr="00512FFC" w:rsidRDefault="56BAD144" w:rsidP="00B06917">
      <w:pPr>
        <w:pStyle w:val="Heading2"/>
        <w:spacing w:before="240"/>
        <w:ind w:left="720"/>
        <w:rPr>
          <w:rFonts w:asciiTheme="minorHAnsi" w:eastAsia="Calibri" w:hAnsiTheme="minorHAnsi" w:cstheme="minorHAnsi"/>
        </w:rPr>
      </w:pPr>
      <w:bookmarkStart w:id="81" w:name="_Toc1965730403"/>
      <w:bookmarkStart w:id="82" w:name="_Toc139016589"/>
      <w:r w:rsidRPr="00512FFC">
        <w:rPr>
          <w:rFonts w:asciiTheme="minorHAnsi" w:eastAsia="Calibri" w:hAnsiTheme="minorHAnsi" w:cstheme="minorHAnsi"/>
        </w:rPr>
        <w:t>6.4</w:t>
      </w:r>
      <w:r w:rsidR="00B7643A" w:rsidRPr="00512FFC">
        <w:rPr>
          <w:rFonts w:asciiTheme="minorHAnsi" w:eastAsia="Calibri" w:hAnsiTheme="minorHAnsi" w:cstheme="minorHAnsi"/>
        </w:rPr>
        <w:t>.</w:t>
      </w:r>
      <w:r w:rsidRPr="00512FFC">
        <w:rPr>
          <w:rFonts w:asciiTheme="minorHAnsi" w:eastAsia="Calibri" w:hAnsiTheme="minorHAnsi" w:cstheme="minorHAnsi"/>
        </w:rPr>
        <w:t xml:space="preserve"> Fixed and Variable Remuneration</w:t>
      </w:r>
      <w:bookmarkEnd w:id="81"/>
      <w:bookmarkEnd w:id="82"/>
      <w:r w:rsidRPr="00512FFC">
        <w:rPr>
          <w:rFonts w:asciiTheme="minorHAnsi" w:eastAsia="Calibri" w:hAnsiTheme="minorHAnsi" w:cstheme="minorHAnsi"/>
        </w:rPr>
        <w:t xml:space="preserve"> </w:t>
      </w:r>
    </w:p>
    <w:p w14:paraId="3ED3255E" w14:textId="416BE74B" w:rsidR="00CF6A7F" w:rsidRPr="00481841" w:rsidRDefault="00D27BC4" w:rsidP="00B06917">
      <w:pPr>
        <w:spacing w:after="120"/>
        <w:ind w:left="0"/>
        <w:rPr>
          <w:rFonts w:cstheme="minorHAnsi"/>
          <w:lang w:val="en-US"/>
        </w:rPr>
      </w:pPr>
      <w:r w:rsidRPr="00512FFC">
        <w:rPr>
          <w:rFonts w:cstheme="minorHAnsi"/>
        </w:rPr>
        <w:br/>
      </w:r>
      <w:r w:rsidR="56BAD144" w:rsidRPr="00481841">
        <w:rPr>
          <w:rFonts w:cstheme="minorHAnsi"/>
          <w:lang w:val="en-US"/>
        </w:rPr>
        <w:t xml:space="preserve">Remuneration within the </w:t>
      </w:r>
      <w:r w:rsidR="00A6330D" w:rsidRPr="00481841">
        <w:rPr>
          <w:rFonts w:cstheme="minorHAnsi"/>
          <w:lang w:val="en-US"/>
        </w:rPr>
        <w:t>Group</w:t>
      </w:r>
      <w:r w:rsidR="56BAD144" w:rsidRPr="00481841">
        <w:rPr>
          <w:rFonts w:cstheme="minorHAnsi"/>
          <w:lang w:val="en-US"/>
        </w:rPr>
        <w:t xml:space="preserve"> is comprised of </w:t>
      </w:r>
      <w:r w:rsidR="6D1C1925" w:rsidRPr="00481841">
        <w:rPr>
          <w:rFonts w:cstheme="minorHAnsi"/>
          <w:lang w:val="en-US"/>
        </w:rPr>
        <w:t>f</w:t>
      </w:r>
      <w:r w:rsidR="56BAD144" w:rsidRPr="00481841">
        <w:rPr>
          <w:rFonts w:cstheme="minorHAnsi"/>
          <w:lang w:val="en-US"/>
        </w:rPr>
        <w:t xml:space="preserve">ixed </w:t>
      </w:r>
      <w:r w:rsidR="26103A24" w:rsidRPr="00481841">
        <w:rPr>
          <w:rFonts w:cstheme="minorHAnsi"/>
          <w:lang w:val="en-US"/>
        </w:rPr>
        <w:t>r</w:t>
      </w:r>
      <w:r w:rsidR="56BAD144" w:rsidRPr="00481841">
        <w:rPr>
          <w:rFonts w:cstheme="minorHAnsi"/>
          <w:lang w:val="en-US"/>
        </w:rPr>
        <w:t xml:space="preserve">emuneration and </w:t>
      </w:r>
      <w:r w:rsidR="06CF7B06" w:rsidRPr="00481841">
        <w:rPr>
          <w:rFonts w:cstheme="minorHAnsi"/>
          <w:lang w:val="en-US"/>
        </w:rPr>
        <w:t>v</w:t>
      </w:r>
      <w:r w:rsidR="56BAD144" w:rsidRPr="00481841">
        <w:rPr>
          <w:rFonts w:cstheme="minorHAnsi"/>
          <w:lang w:val="en-US"/>
        </w:rPr>
        <w:t xml:space="preserve">ariable </w:t>
      </w:r>
      <w:r w:rsidR="5F5EC9C1" w:rsidRPr="00481841">
        <w:rPr>
          <w:rFonts w:cstheme="minorHAnsi"/>
          <w:lang w:val="en-US"/>
        </w:rPr>
        <w:t>r</w:t>
      </w:r>
      <w:r w:rsidR="56BAD144" w:rsidRPr="00481841">
        <w:rPr>
          <w:rFonts w:cstheme="minorHAnsi"/>
          <w:lang w:val="en-US"/>
        </w:rPr>
        <w:t>emuneration</w:t>
      </w:r>
      <w:r w:rsidR="7E2A4075" w:rsidRPr="00481841">
        <w:rPr>
          <w:rFonts w:cstheme="minorHAnsi"/>
          <w:lang w:val="en-US"/>
        </w:rPr>
        <w:t>.</w:t>
      </w:r>
    </w:p>
    <w:p w14:paraId="3F3B0E2F" w14:textId="04946C67" w:rsidR="00CF6A7F" w:rsidRPr="00481841" w:rsidRDefault="56BAD144" w:rsidP="00481841">
      <w:pPr>
        <w:spacing w:before="120" w:after="120"/>
        <w:ind w:left="0"/>
        <w:rPr>
          <w:rFonts w:cstheme="minorHAnsi"/>
          <w:b/>
          <w:bCs/>
          <w:u w:val="single"/>
          <w:lang w:val="en-US"/>
        </w:rPr>
      </w:pPr>
      <w:r w:rsidRPr="00481841">
        <w:rPr>
          <w:rFonts w:cstheme="minorHAnsi"/>
          <w:b/>
          <w:bCs/>
          <w:u w:val="single"/>
          <w:lang w:val="en-US"/>
        </w:rPr>
        <w:t>Fixed Remuneration</w:t>
      </w:r>
    </w:p>
    <w:p w14:paraId="3D048A1C" w14:textId="3D1E9417" w:rsidR="00CF6A7F" w:rsidRPr="00481841" w:rsidRDefault="56BAD144" w:rsidP="00481841">
      <w:pPr>
        <w:spacing w:before="120" w:after="120"/>
        <w:ind w:left="0"/>
        <w:rPr>
          <w:rFonts w:cstheme="minorHAnsi"/>
          <w:lang w:val="en-US"/>
        </w:rPr>
      </w:pPr>
      <w:r w:rsidRPr="00481841">
        <w:rPr>
          <w:rFonts w:cstheme="minorHAnsi"/>
          <w:lang w:val="en-US"/>
        </w:rPr>
        <w:t xml:space="preserve">Fixed remuneration consists of base salary and any other non-performance related amounts the </w:t>
      </w:r>
      <w:r w:rsidR="00A6330D" w:rsidRPr="00481841">
        <w:rPr>
          <w:rFonts w:cstheme="minorHAnsi"/>
          <w:lang w:val="en-US"/>
        </w:rPr>
        <w:t>Group</w:t>
      </w:r>
      <w:r w:rsidRPr="00481841">
        <w:rPr>
          <w:rFonts w:cstheme="minorHAnsi"/>
          <w:lang w:val="en-US"/>
        </w:rPr>
        <w:t xml:space="preserve"> is committed to pay </w:t>
      </w:r>
      <w:proofErr w:type="gramStart"/>
      <w:r w:rsidRPr="00481841">
        <w:rPr>
          <w:rFonts w:cstheme="minorHAnsi"/>
          <w:lang w:val="en-US"/>
        </w:rPr>
        <w:t>as a result of</w:t>
      </w:r>
      <w:proofErr w:type="gramEnd"/>
      <w:r w:rsidRPr="00481841">
        <w:rPr>
          <w:rFonts w:cstheme="minorHAnsi"/>
          <w:lang w:val="en-US"/>
        </w:rPr>
        <w:t xml:space="preserve"> contractual obligations, market practice or applicable law and will include benefits and pension contributions. </w:t>
      </w:r>
    </w:p>
    <w:p w14:paraId="7784A95B" w14:textId="074D3BEB" w:rsidR="00CF6A7F" w:rsidRPr="00481841" w:rsidRDefault="56BAD144" w:rsidP="00481841">
      <w:pPr>
        <w:spacing w:before="120" w:after="120"/>
        <w:ind w:left="0"/>
        <w:rPr>
          <w:rFonts w:cstheme="minorHAnsi"/>
          <w:lang w:val="en-US"/>
        </w:rPr>
      </w:pPr>
      <w:r w:rsidRPr="00481841">
        <w:rPr>
          <w:rFonts w:cstheme="minorHAnsi"/>
          <w:lang w:val="en-US"/>
        </w:rPr>
        <w:t xml:space="preserve">Base salaries are determined by a staff member's professional experience and organisational responsibilities with due consideration to the external market.  </w:t>
      </w:r>
    </w:p>
    <w:p w14:paraId="25C83B1F" w14:textId="77CA01DF" w:rsidR="00CF6A7F" w:rsidRPr="00481841" w:rsidRDefault="56BAD144" w:rsidP="00481841">
      <w:pPr>
        <w:spacing w:before="120" w:after="120"/>
        <w:ind w:left="0"/>
        <w:rPr>
          <w:rFonts w:cstheme="minorHAnsi"/>
          <w:lang w:val="en-US"/>
        </w:rPr>
      </w:pPr>
      <w:r w:rsidRPr="00481841">
        <w:rPr>
          <w:rFonts w:cstheme="minorHAnsi"/>
          <w:lang w:val="en-US"/>
        </w:rPr>
        <w:t xml:space="preserve">The </w:t>
      </w:r>
      <w:r w:rsidR="002960A5" w:rsidRPr="00481841">
        <w:rPr>
          <w:rFonts w:cstheme="minorHAnsi"/>
          <w:lang w:val="en-US"/>
        </w:rPr>
        <w:t>Group</w:t>
      </w:r>
      <w:r w:rsidRPr="00481841">
        <w:rPr>
          <w:rFonts w:cstheme="minorHAnsi"/>
          <w:lang w:val="en-US"/>
        </w:rPr>
        <w:t xml:space="preserve"> will set salaries at a level which allows it to operate a fully flexible bonus policy, including the option to award zero bonuses in appropriate circumstances. </w:t>
      </w:r>
    </w:p>
    <w:p w14:paraId="4554055E" w14:textId="06CCC652" w:rsidR="00CF6A7F" w:rsidRPr="00481841" w:rsidRDefault="56BAD144" w:rsidP="00481841">
      <w:pPr>
        <w:spacing w:before="120" w:after="120"/>
        <w:ind w:left="0"/>
        <w:rPr>
          <w:rFonts w:cstheme="minorHAnsi"/>
          <w:b/>
          <w:bCs/>
          <w:u w:val="single"/>
          <w:lang w:val="en-US"/>
        </w:rPr>
      </w:pPr>
      <w:r w:rsidRPr="00481841">
        <w:rPr>
          <w:rFonts w:cstheme="minorHAnsi"/>
          <w:b/>
          <w:bCs/>
          <w:u w:val="single"/>
          <w:lang w:val="en-US"/>
        </w:rPr>
        <w:t>Variable Remuneration</w:t>
      </w:r>
    </w:p>
    <w:p w14:paraId="3442A8FF" w14:textId="33513037" w:rsidR="00CF6A7F" w:rsidRPr="00481841" w:rsidRDefault="56BAD144" w:rsidP="00481841">
      <w:pPr>
        <w:spacing w:before="120" w:after="120"/>
        <w:ind w:left="0"/>
        <w:rPr>
          <w:rFonts w:cstheme="minorHAnsi"/>
          <w:lang w:val="en-US"/>
        </w:rPr>
      </w:pPr>
      <w:r w:rsidRPr="00481841">
        <w:rPr>
          <w:rFonts w:cstheme="minorHAnsi"/>
          <w:lang w:val="en-US"/>
        </w:rPr>
        <w:t xml:space="preserve">Variable remuneration consists of discretionary bonuses, guaranteed bonuses, retention awards, buy-out awards, and severance payments. </w:t>
      </w:r>
    </w:p>
    <w:p w14:paraId="447CE90B" w14:textId="62B1D154" w:rsidR="00CF6A7F" w:rsidRPr="00481841" w:rsidRDefault="56BAD144" w:rsidP="00481841">
      <w:pPr>
        <w:spacing w:before="120" w:after="120"/>
        <w:ind w:left="0"/>
        <w:rPr>
          <w:rFonts w:cstheme="minorHAnsi"/>
          <w:lang w:val="en-US"/>
        </w:rPr>
      </w:pPr>
      <w:r w:rsidRPr="00481841">
        <w:rPr>
          <w:rFonts w:cstheme="minorHAnsi"/>
          <w:lang w:val="en-US"/>
        </w:rPr>
        <w:t xml:space="preserve">All eligible staff may be considered for an award of variable remuneration but have no entitlement to such awards which are discretionary in nature. Eligibility is determined by the terms of an individual’s employment contract. </w:t>
      </w:r>
    </w:p>
    <w:p w14:paraId="602CEE47" w14:textId="56A8100D" w:rsidR="00CF6A7F" w:rsidRPr="00481841" w:rsidRDefault="56BAD144" w:rsidP="00481841">
      <w:pPr>
        <w:spacing w:before="120" w:after="120"/>
        <w:ind w:left="0"/>
        <w:rPr>
          <w:rFonts w:cstheme="minorHAnsi"/>
          <w:lang w:val="en-US"/>
        </w:rPr>
      </w:pPr>
      <w:r w:rsidRPr="00481841">
        <w:rPr>
          <w:rFonts w:cstheme="minorHAnsi"/>
          <w:lang w:val="en-US"/>
        </w:rPr>
        <w:t xml:space="preserve">The overall variable bonus pool is determined by the overall profitability of the </w:t>
      </w:r>
      <w:r w:rsidR="00E51E43" w:rsidRPr="00481841">
        <w:rPr>
          <w:rFonts w:cstheme="minorHAnsi"/>
          <w:lang w:val="en-US"/>
        </w:rPr>
        <w:t>Group</w:t>
      </w:r>
      <w:r w:rsidRPr="00481841">
        <w:rPr>
          <w:rFonts w:cstheme="minorHAnsi"/>
          <w:lang w:val="en-US"/>
        </w:rPr>
        <w:t xml:space="preserve">, with individual awards determined by </w:t>
      </w:r>
      <w:proofErr w:type="gramStart"/>
      <w:r w:rsidRPr="00481841">
        <w:rPr>
          <w:rFonts w:cstheme="minorHAnsi"/>
          <w:lang w:val="en-US"/>
        </w:rPr>
        <w:t>a number of</w:t>
      </w:r>
      <w:proofErr w:type="gramEnd"/>
      <w:r w:rsidRPr="00481841">
        <w:rPr>
          <w:rFonts w:cstheme="minorHAnsi"/>
          <w:lang w:val="en-US"/>
        </w:rPr>
        <w:t xml:space="preserve"> performance (financial and non-financial) criteria, primarily including, the performance of the individual, the business unit and the </w:t>
      </w:r>
      <w:r w:rsidR="002B3DEB" w:rsidRPr="00481841">
        <w:rPr>
          <w:rFonts w:cstheme="minorHAnsi"/>
          <w:lang w:val="en-US"/>
        </w:rPr>
        <w:t xml:space="preserve">LAML </w:t>
      </w:r>
      <w:r w:rsidR="00DA1F5B" w:rsidRPr="00481841">
        <w:rPr>
          <w:rFonts w:cstheme="minorHAnsi"/>
          <w:lang w:val="en-US"/>
        </w:rPr>
        <w:t>Group</w:t>
      </w:r>
      <w:r w:rsidRPr="00481841">
        <w:rPr>
          <w:rFonts w:cstheme="minorHAnsi"/>
          <w:lang w:val="en-US"/>
        </w:rPr>
        <w:t xml:space="preserve"> or </w:t>
      </w:r>
      <w:r w:rsidR="50F90F55" w:rsidRPr="00481841">
        <w:rPr>
          <w:rFonts w:cstheme="minorHAnsi"/>
          <w:lang w:val="en-US"/>
        </w:rPr>
        <w:t xml:space="preserve">the Lazard </w:t>
      </w:r>
      <w:r w:rsidRPr="00481841">
        <w:rPr>
          <w:rFonts w:cstheme="minorHAnsi"/>
          <w:lang w:val="en-US"/>
        </w:rPr>
        <w:t>Group overall</w:t>
      </w:r>
      <w:r w:rsidR="3B0BCDCB" w:rsidRPr="00481841">
        <w:rPr>
          <w:rFonts w:cstheme="minorHAnsi"/>
          <w:lang w:val="en-US"/>
        </w:rPr>
        <w:t xml:space="preserve">. As noted above, the </w:t>
      </w:r>
      <w:r w:rsidR="00E51E43" w:rsidRPr="00481841">
        <w:rPr>
          <w:rFonts w:cstheme="minorHAnsi"/>
          <w:lang w:val="en-US"/>
        </w:rPr>
        <w:t>Group</w:t>
      </w:r>
      <w:r w:rsidR="3B0BCDCB" w:rsidRPr="00481841">
        <w:rPr>
          <w:rFonts w:cstheme="minorHAnsi"/>
          <w:lang w:val="en-US"/>
        </w:rPr>
        <w:t xml:space="preserve"> retains the option to award zero bonuses in appropriate circumstances.</w:t>
      </w:r>
    </w:p>
    <w:p w14:paraId="6E185ED7" w14:textId="5AE2BE3E" w:rsidR="00CF6A7F" w:rsidRPr="00481841" w:rsidRDefault="56BAD144" w:rsidP="00481841">
      <w:pPr>
        <w:spacing w:before="120" w:after="120"/>
        <w:ind w:left="0"/>
        <w:rPr>
          <w:rFonts w:cstheme="minorHAnsi"/>
          <w:lang w:val="en-US"/>
        </w:rPr>
      </w:pPr>
      <w:r w:rsidRPr="00481841">
        <w:rPr>
          <w:rFonts w:cstheme="minorHAnsi"/>
          <w:lang w:val="en-US"/>
        </w:rPr>
        <w:t xml:space="preserve">Variable remuneration may be awarded in the form of cash or </w:t>
      </w:r>
      <w:r w:rsidR="00CF6925" w:rsidRPr="00481841">
        <w:rPr>
          <w:rFonts w:cstheme="minorHAnsi"/>
          <w:lang w:val="en-US"/>
        </w:rPr>
        <w:t>equity</w:t>
      </w:r>
      <w:r w:rsidRPr="00481841">
        <w:rPr>
          <w:rFonts w:cstheme="minorHAnsi"/>
          <w:lang w:val="en-US"/>
        </w:rPr>
        <w:t xml:space="preserve"> awards. The blend between these two components and the threshold at which</w:t>
      </w:r>
      <w:r w:rsidR="00CD31E4" w:rsidRPr="00481841">
        <w:rPr>
          <w:rFonts w:cstheme="minorHAnsi"/>
          <w:lang w:val="en-US"/>
        </w:rPr>
        <w:t xml:space="preserve"> equity</w:t>
      </w:r>
      <w:r w:rsidRPr="00481841">
        <w:rPr>
          <w:rFonts w:cstheme="minorHAnsi"/>
          <w:lang w:val="en-US"/>
        </w:rPr>
        <w:t xml:space="preserve"> is implemented are determined annually. The </w:t>
      </w:r>
      <w:r w:rsidR="001F5CF6" w:rsidRPr="00481841">
        <w:rPr>
          <w:rFonts w:cstheme="minorHAnsi"/>
          <w:lang w:val="en-US"/>
        </w:rPr>
        <w:t>equity</w:t>
      </w:r>
      <w:r w:rsidRPr="00481841">
        <w:rPr>
          <w:rFonts w:cstheme="minorHAnsi"/>
          <w:lang w:val="en-US"/>
        </w:rPr>
        <w:t xml:space="preserve"> component is generally awarded as either Lazard Ltd restricted stock units or other regulated investment fund vehicles or cash and all </w:t>
      </w:r>
      <w:r w:rsidR="00740D49" w:rsidRPr="00481841">
        <w:rPr>
          <w:rFonts w:cstheme="minorHAnsi"/>
          <w:lang w:val="en-US"/>
        </w:rPr>
        <w:t>equity</w:t>
      </w:r>
      <w:r w:rsidRPr="00481841">
        <w:rPr>
          <w:rFonts w:cstheme="minorHAnsi"/>
          <w:lang w:val="en-US"/>
        </w:rPr>
        <w:t xml:space="preserve"> awards are subject to a longer</w:t>
      </w:r>
      <w:r w:rsidR="36A7D154" w:rsidRPr="00481841">
        <w:rPr>
          <w:rFonts w:cstheme="minorHAnsi"/>
          <w:lang w:val="en-US"/>
        </w:rPr>
        <w:t>-</w:t>
      </w:r>
      <w:r w:rsidRPr="00481841">
        <w:rPr>
          <w:rFonts w:cstheme="minorHAnsi"/>
          <w:lang w:val="en-US"/>
        </w:rPr>
        <w:t xml:space="preserve">term vesting period. The award of </w:t>
      </w:r>
      <w:r w:rsidR="0042499C" w:rsidRPr="00481841">
        <w:rPr>
          <w:rFonts w:cstheme="minorHAnsi"/>
          <w:lang w:val="en-US"/>
        </w:rPr>
        <w:t xml:space="preserve">equity as part of </w:t>
      </w:r>
      <w:r w:rsidRPr="00481841">
        <w:rPr>
          <w:rFonts w:cstheme="minorHAnsi"/>
          <w:lang w:val="en-US"/>
        </w:rPr>
        <w:t xml:space="preserve">variable remuneration supports the ongoing management of longer-term business risk and aligns the interests of the employee with both the </w:t>
      </w:r>
      <w:r w:rsidR="009D1CAB" w:rsidRPr="00481841">
        <w:rPr>
          <w:rFonts w:cstheme="minorHAnsi"/>
          <w:lang w:val="en-US"/>
        </w:rPr>
        <w:t>Group</w:t>
      </w:r>
      <w:r w:rsidRPr="00481841">
        <w:rPr>
          <w:rFonts w:cstheme="minorHAnsi"/>
          <w:lang w:val="en-US"/>
        </w:rPr>
        <w:t>’s shareholders and clients.</w:t>
      </w:r>
    </w:p>
    <w:p w14:paraId="5CC01E14" w14:textId="3082266D" w:rsidR="00CF6A7F" w:rsidRPr="00481841" w:rsidRDefault="56BAD144" w:rsidP="00481841">
      <w:pPr>
        <w:spacing w:before="120" w:after="120"/>
        <w:ind w:left="0"/>
        <w:rPr>
          <w:rFonts w:cstheme="minorHAnsi"/>
          <w:b/>
          <w:bCs/>
          <w:u w:val="single"/>
          <w:lang w:val="en-US"/>
        </w:rPr>
      </w:pPr>
      <w:r w:rsidRPr="00481841">
        <w:rPr>
          <w:rFonts w:cstheme="minorHAnsi"/>
          <w:b/>
          <w:bCs/>
          <w:u w:val="single"/>
          <w:lang w:val="en-US"/>
        </w:rPr>
        <w:t>Risk and Performance Adjustments</w:t>
      </w:r>
    </w:p>
    <w:p w14:paraId="2A25959F" w14:textId="2EFD3781" w:rsidR="00CF6A7F" w:rsidRPr="00481841" w:rsidRDefault="56BAD144" w:rsidP="00481841">
      <w:pPr>
        <w:spacing w:before="120" w:after="120"/>
        <w:ind w:left="0"/>
        <w:rPr>
          <w:rFonts w:cstheme="minorHAnsi"/>
          <w:lang w:val="en-US"/>
        </w:rPr>
      </w:pPr>
      <w:r w:rsidRPr="00481841">
        <w:rPr>
          <w:rFonts w:cstheme="minorHAnsi"/>
          <w:lang w:val="en-US"/>
        </w:rPr>
        <w:t xml:space="preserve">To support effective risk management, staff in receipt of </w:t>
      </w:r>
      <w:r w:rsidR="002F3413" w:rsidRPr="00481841">
        <w:rPr>
          <w:rFonts w:cstheme="minorHAnsi"/>
          <w:lang w:val="en-US"/>
        </w:rPr>
        <w:t>equity</w:t>
      </w:r>
      <w:r w:rsidRPr="00481841">
        <w:rPr>
          <w:rFonts w:cstheme="minorHAnsi"/>
          <w:lang w:val="en-US"/>
        </w:rPr>
        <w:t xml:space="preserve"> awards are required to agree to forfeiture and clawback in the event of</w:t>
      </w:r>
      <w:r w:rsidR="4F0615D3" w:rsidRPr="00481841">
        <w:rPr>
          <w:rFonts w:cstheme="minorHAnsi"/>
          <w:lang w:val="en-US"/>
        </w:rPr>
        <w:t>,</w:t>
      </w:r>
      <w:r w:rsidRPr="00481841">
        <w:rPr>
          <w:rFonts w:cstheme="minorHAnsi"/>
          <w:lang w:val="en-US"/>
        </w:rPr>
        <w:t xml:space="preserve"> for example, misconduct or actions contributing to the detriment of the business or its clients. </w:t>
      </w:r>
    </w:p>
    <w:p w14:paraId="7AE2F184" w14:textId="5880279D" w:rsidR="00CF6A7F" w:rsidRPr="00481841" w:rsidRDefault="56BAD144" w:rsidP="00481841">
      <w:pPr>
        <w:spacing w:before="120" w:after="120"/>
        <w:ind w:left="0"/>
        <w:rPr>
          <w:rFonts w:cstheme="minorHAnsi"/>
          <w:lang w:val="en-US"/>
        </w:rPr>
      </w:pPr>
      <w:r w:rsidRPr="00481841">
        <w:rPr>
          <w:rFonts w:cstheme="minorHAnsi"/>
          <w:lang w:val="en-US"/>
        </w:rPr>
        <w:t>Non-</w:t>
      </w:r>
      <w:r w:rsidR="593C725A" w:rsidRPr="00481841">
        <w:rPr>
          <w:rFonts w:cstheme="minorHAnsi"/>
          <w:lang w:val="en-US"/>
        </w:rPr>
        <w:t>Material Risk Takers</w:t>
      </w:r>
      <w:r w:rsidR="1E564106" w:rsidRPr="00481841">
        <w:rPr>
          <w:rFonts w:cstheme="minorHAnsi"/>
          <w:lang w:val="en-US"/>
        </w:rPr>
        <w:t xml:space="preserve"> </w:t>
      </w:r>
      <w:r w:rsidRPr="00481841">
        <w:rPr>
          <w:rFonts w:cstheme="minorHAnsi"/>
          <w:lang w:val="en-US"/>
        </w:rPr>
        <w:t xml:space="preserve">receiving </w:t>
      </w:r>
      <w:r w:rsidR="00F41603" w:rsidRPr="00481841">
        <w:rPr>
          <w:rFonts w:cstheme="minorHAnsi"/>
          <w:lang w:val="en-US"/>
        </w:rPr>
        <w:t xml:space="preserve">equity </w:t>
      </w:r>
      <w:r w:rsidRPr="00481841">
        <w:rPr>
          <w:rFonts w:cstheme="minorHAnsi"/>
          <w:lang w:val="en-US"/>
        </w:rPr>
        <w:t xml:space="preserve">agree to forfeiture and clawback of such awards in the event of fraud, misconduct or actions contributing to the detriment of business interests, including competing with the </w:t>
      </w:r>
      <w:proofErr w:type="gramStart"/>
      <w:r w:rsidRPr="00481841">
        <w:rPr>
          <w:rFonts w:cstheme="minorHAnsi"/>
          <w:lang w:val="en-US"/>
        </w:rPr>
        <w:t>business</w:t>
      </w:r>
      <w:proofErr w:type="gramEnd"/>
      <w:r w:rsidRPr="00481841">
        <w:rPr>
          <w:rFonts w:cstheme="minorHAnsi"/>
          <w:lang w:val="en-US"/>
        </w:rPr>
        <w:t xml:space="preserve"> and soliciting employees or clients. </w:t>
      </w:r>
    </w:p>
    <w:p w14:paraId="1D049791" w14:textId="78FA63C5" w:rsidR="00CF6A7F" w:rsidRPr="00481841" w:rsidRDefault="56BAD144" w:rsidP="00481841">
      <w:pPr>
        <w:spacing w:before="120" w:after="120"/>
        <w:ind w:left="0"/>
        <w:rPr>
          <w:rFonts w:cstheme="minorHAnsi"/>
          <w:lang w:val="en-US"/>
        </w:rPr>
      </w:pPr>
      <w:r w:rsidRPr="00481841">
        <w:rPr>
          <w:rFonts w:cstheme="minorHAnsi"/>
          <w:lang w:val="en-US"/>
        </w:rPr>
        <w:lastRenderedPageBreak/>
        <w:t>M</w:t>
      </w:r>
      <w:r w:rsidR="0B09758A" w:rsidRPr="00481841">
        <w:rPr>
          <w:rFonts w:cstheme="minorHAnsi"/>
          <w:lang w:val="en-US"/>
        </w:rPr>
        <w:t>aterial Risk Takers (“MRTs”)</w:t>
      </w:r>
      <w:r w:rsidR="0841A083" w:rsidRPr="00481841">
        <w:rPr>
          <w:rFonts w:cstheme="minorHAnsi"/>
          <w:lang w:val="en-US"/>
        </w:rPr>
        <w:t xml:space="preserve"> (see </w:t>
      </w:r>
      <w:r w:rsidR="1C423348" w:rsidRPr="00481841">
        <w:rPr>
          <w:rFonts w:cstheme="minorHAnsi"/>
          <w:lang w:val="en-US"/>
        </w:rPr>
        <w:t xml:space="preserve"> section 6.5 below</w:t>
      </w:r>
      <w:r w:rsidR="10BD3028" w:rsidRPr="00481841">
        <w:rPr>
          <w:rFonts w:cstheme="minorHAnsi"/>
          <w:lang w:val="en-US"/>
        </w:rPr>
        <w:t xml:space="preserve"> for further details)</w:t>
      </w:r>
      <w:r w:rsidR="1C423348" w:rsidRPr="00481841">
        <w:rPr>
          <w:rFonts w:cstheme="minorHAnsi"/>
          <w:lang w:val="en-US"/>
        </w:rPr>
        <w:t>,</w:t>
      </w:r>
      <w:r w:rsidRPr="00481841">
        <w:rPr>
          <w:rFonts w:cstheme="minorHAnsi"/>
          <w:lang w:val="en-US"/>
        </w:rPr>
        <w:t xml:space="preserve"> are subject to more stringent risk adjustment, including, but not limited to, malus (for the existing remuneration year), clawback (on variable remuneration already paid or vested) and freezing (delaying the payment or vesting) restrictions in respect to all forms of variable remuneration, in the event of significant losses to the </w:t>
      </w:r>
      <w:r w:rsidR="009D1CAB" w:rsidRPr="00481841">
        <w:rPr>
          <w:rFonts w:cstheme="minorHAnsi"/>
          <w:lang w:val="en-US"/>
        </w:rPr>
        <w:t>Group</w:t>
      </w:r>
      <w:r w:rsidRPr="00481841">
        <w:rPr>
          <w:rFonts w:cstheme="minorHAnsi"/>
          <w:lang w:val="en-US"/>
        </w:rPr>
        <w:t xml:space="preserve">, staff misbehaviour, failure to meet appropriate standards of fitness or propriety, material error, material downturn in business unit performance, or a material failure of risk management. In determining whether and to what extent to apply malus and/or clawback, a variety of factors (including the proximity of the relevant individual to the failure of risk management in question and the level of responsibility and the impact on the risk profile of the </w:t>
      </w:r>
      <w:r w:rsidR="009D1CAB" w:rsidRPr="00481841">
        <w:rPr>
          <w:rFonts w:cstheme="minorHAnsi"/>
          <w:lang w:val="en-US"/>
        </w:rPr>
        <w:t>Group</w:t>
      </w:r>
      <w:r w:rsidRPr="00481841">
        <w:rPr>
          <w:rFonts w:cstheme="minorHAnsi"/>
          <w:lang w:val="en-US"/>
        </w:rPr>
        <w:t xml:space="preserve"> and</w:t>
      </w:r>
      <w:r w:rsidR="4BE226F9" w:rsidRPr="00481841">
        <w:rPr>
          <w:rFonts w:cstheme="minorHAnsi"/>
          <w:lang w:val="en-US"/>
        </w:rPr>
        <w:t>/or any</w:t>
      </w:r>
      <w:r w:rsidRPr="00481841">
        <w:rPr>
          <w:rFonts w:cstheme="minorHAnsi"/>
          <w:lang w:val="en-US"/>
        </w:rPr>
        <w:t xml:space="preserve"> other </w:t>
      </w:r>
      <w:r w:rsidR="0AC7B924" w:rsidRPr="00481841">
        <w:rPr>
          <w:rFonts w:cstheme="minorHAnsi"/>
          <w:lang w:val="en-US"/>
        </w:rPr>
        <w:t xml:space="preserve">entity in the Lazard </w:t>
      </w:r>
      <w:r w:rsidRPr="00481841" w:rsidDel="56BAD144">
        <w:rPr>
          <w:rFonts w:cstheme="minorHAnsi"/>
          <w:lang w:val="en-US"/>
        </w:rPr>
        <w:t xml:space="preserve">Group </w:t>
      </w:r>
      <w:r w:rsidRPr="00481841">
        <w:rPr>
          <w:rFonts w:cstheme="minorHAnsi"/>
          <w:lang w:val="en-US"/>
        </w:rPr>
        <w:t>or the relevant business unit) may be taken into account (see</w:t>
      </w:r>
      <w:r w:rsidR="00BF1779" w:rsidRPr="00481841">
        <w:rPr>
          <w:rFonts w:cstheme="minorHAnsi"/>
          <w:lang w:val="en-US"/>
        </w:rPr>
        <w:t xml:space="preserve"> </w:t>
      </w:r>
      <w:r w:rsidRPr="00481841" w:rsidDel="56BAD144">
        <w:rPr>
          <w:rFonts w:cstheme="minorHAnsi"/>
          <w:lang w:val="en-US"/>
        </w:rPr>
        <w:t>[2.</w:t>
      </w:r>
      <w:r w:rsidR="0083099E" w:rsidRPr="00481841">
        <w:rPr>
          <w:rFonts w:cstheme="minorHAnsi"/>
          <w:lang w:val="en-US"/>
        </w:rPr>
        <w:t>3</w:t>
      </w:r>
      <w:r w:rsidRPr="00481841" w:rsidDel="56BAD144">
        <w:rPr>
          <w:rFonts w:cstheme="minorHAnsi"/>
          <w:lang w:val="en-US"/>
        </w:rPr>
        <w:t xml:space="preserve">] </w:t>
      </w:r>
      <w:r w:rsidRPr="00481841">
        <w:rPr>
          <w:rFonts w:cstheme="minorHAnsi"/>
          <w:lang w:val="en-US"/>
        </w:rPr>
        <w:t xml:space="preserve">for the material risks identified by the </w:t>
      </w:r>
      <w:r w:rsidR="008E023E" w:rsidRPr="00481841">
        <w:rPr>
          <w:rFonts w:cstheme="minorHAnsi"/>
          <w:lang w:val="en-US"/>
        </w:rPr>
        <w:t>Group</w:t>
      </w:r>
      <w:r w:rsidRPr="00481841">
        <w:rPr>
          <w:rFonts w:cstheme="minorHAnsi"/>
          <w:lang w:val="en-US"/>
        </w:rPr>
        <w:t xml:space="preserve">).   Malus and clawback may be applied for three years from the award date, or longer in cases, for example, where an award is subject to longer deferral and retention periods. All MRTs confirm their agreement to be subject to the </w:t>
      </w:r>
      <w:r w:rsidR="00A67097" w:rsidRPr="00481841">
        <w:rPr>
          <w:rFonts w:cstheme="minorHAnsi"/>
          <w:lang w:val="en-US"/>
        </w:rPr>
        <w:t>Group</w:t>
      </w:r>
      <w:r w:rsidR="6D8A35A1" w:rsidRPr="00481841">
        <w:rPr>
          <w:rFonts w:cstheme="minorHAnsi"/>
          <w:lang w:val="en-US"/>
        </w:rPr>
        <w:t xml:space="preserve">’s malus and clawback </w:t>
      </w:r>
      <w:r w:rsidRPr="00481841">
        <w:rPr>
          <w:rFonts w:cstheme="minorHAnsi"/>
          <w:lang w:val="en-US"/>
        </w:rPr>
        <w:t>policy</w:t>
      </w:r>
      <w:r w:rsidR="7F0A7714" w:rsidRPr="00481841">
        <w:rPr>
          <w:rFonts w:cstheme="minorHAnsi"/>
          <w:lang w:val="en-US"/>
        </w:rPr>
        <w:t xml:space="preserve"> (the “Malus and Clawback Policy”)</w:t>
      </w:r>
      <w:r w:rsidRPr="00481841">
        <w:rPr>
          <w:rFonts w:cstheme="minorHAnsi"/>
          <w:lang w:val="en-US"/>
        </w:rPr>
        <w:t xml:space="preserve">. </w:t>
      </w:r>
    </w:p>
    <w:p w14:paraId="63E72222" w14:textId="132F0E83" w:rsidR="00CF6A7F" w:rsidRPr="00481841" w:rsidRDefault="56BAD144" w:rsidP="00481841">
      <w:pPr>
        <w:spacing w:before="120" w:after="120"/>
        <w:ind w:left="0"/>
        <w:rPr>
          <w:rFonts w:cstheme="minorHAnsi"/>
          <w:b/>
          <w:bCs/>
          <w:u w:val="single"/>
          <w:lang w:val="en-US"/>
        </w:rPr>
      </w:pPr>
      <w:r w:rsidRPr="00481841">
        <w:rPr>
          <w:rFonts w:cstheme="minorHAnsi"/>
          <w:b/>
          <w:bCs/>
          <w:u w:val="single"/>
          <w:lang w:val="en-US"/>
        </w:rPr>
        <w:t>Guaranteed Variable Remuneration (M</w:t>
      </w:r>
      <w:r w:rsidR="00B04F61" w:rsidRPr="00481841">
        <w:rPr>
          <w:rFonts w:cstheme="minorHAnsi"/>
          <w:b/>
          <w:bCs/>
          <w:u w:val="single"/>
          <w:lang w:val="en-US"/>
        </w:rPr>
        <w:t xml:space="preserve">RTs </w:t>
      </w:r>
      <w:r w:rsidRPr="00481841">
        <w:rPr>
          <w:rFonts w:cstheme="minorHAnsi"/>
          <w:b/>
          <w:bCs/>
          <w:u w:val="single"/>
          <w:lang w:val="en-US"/>
        </w:rPr>
        <w:t>only)</w:t>
      </w:r>
    </w:p>
    <w:p w14:paraId="3489D686" w14:textId="4902F968" w:rsidR="006F4C2C" w:rsidRPr="00481841" w:rsidRDefault="56BAD144" w:rsidP="00481841">
      <w:pPr>
        <w:spacing w:before="120" w:after="120"/>
        <w:ind w:left="0"/>
        <w:rPr>
          <w:rFonts w:cstheme="minorHAnsi"/>
          <w:lang w:val="en-US"/>
        </w:rPr>
      </w:pPr>
      <w:r w:rsidRPr="00481841">
        <w:rPr>
          <w:rFonts w:cstheme="minorHAnsi"/>
          <w:lang w:val="en-US"/>
        </w:rPr>
        <w:t xml:space="preserve">In certain exceptional cases guaranteed awards may be made, where there is a business critical need to attract/retain individuals. All such awards are subject to strict criteria (including that they are exceptional; they align with the long-term interest of the </w:t>
      </w:r>
      <w:r w:rsidR="00A67097" w:rsidRPr="00481841">
        <w:rPr>
          <w:rFonts w:cstheme="minorHAnsi"/>
          <w:lang w:val="en-US"/>
        </w:rPr>
        <w:t>Group</w:t>
      </w:r>
      <w:r w:rsidRPr="00481841">
        <w:rPr>
          <w:rFonts w:cstheme="minorHAnsi"/>
          <w:lang w:val="en-US"/>
        </w:rPr>
        <w:t xml:space="preserve">, they occur in the context of hiring new MRTs, the </w:t>
      </w:r>
      <w:r w:rsidR="0064058A" w:rsidRPr="00481841">
        <w:rPr>
          <w:rFonts w:cstheme="minorHAnsi"/>
          <w:lang w:val="en-US"/>
        </w:rPr>
        <w:t>Group</w:t>
      </w:r>
      <w:r w:rsidRPr="00481841">
        <w:rPr>
          <w:rFonts w:cstheme="minorHAnsi"/>
          <w:lang w:val="en-US"/>
        </w:rPr>
        <w:t xml:space="preserve"> has a sound and strong capital base; they are limited to the first year of service; and they are subject to the Malus and Clawback </w:t>
      </w:r>
      <w:r w:rsidR="05654950" w:rsidRPr="00481841">
        <w:rPr>
          <w:rFonts w:cstheme="minorHAnsi"/>
          <w:lang w:val="en-US"/>
        </w:rPr>
        <w:t>P</w:t>
      </w:r>
      <w:r w:rsidRPr="00481841">
        <w:rPr>
          <w:rFonts w:cstheme="minorHAnsi"/>
          <w:lang w:val="en-US"/>
        </w:rPr>
        <w:t xml:space="preserve">olicy) and must be approved by Human Resources and/or the relevant local and/or global head of control functions. </w:t>
      </w:r>
    </w:p>
    <w:p w14:paraId="27E8736D" w14:textId="35B32471" w:rsidR="00CF6A7F" w:rsidRPr="00481841" w:rsidRDefault="56BAD144" w:rsidP="00481841">
      <w:pPr>
        <w:spacing w:before="120" w:after="120"/>
        <w:ind w:left="0"/>
        <w:rPr>
          <w:rFonts w:cstheme="minorHAnsi"/>
          <w:b/>
          <w:bCs/>
          <w:u w:val="single"/>
          <w:lang w:val="en-US"/>
        </w:rPr>
      </w:pPr>
      <w:r w:rsidRPr="00481841">
        <w:rPr>
          <w:rFonts w:cstheme="minorHAnsi"/>
          <w:b/>
          <w:bCs/>
          <w:u w:val="single"/>
          <w:lang w:val="en-US"/>
        </w:rPr>
        <w:t>Payments Related to Early Termination</w:t>
      </w:r>
    </w:p>
    <w:p w14:paraId="3A56A6FE" w14:textId="455137B4" w:rsidR="00CF6A7F" w:rsidRPr="00481841" w:rsidRDefault="56BAD144" w:rsidP="00481841">
      <w:pPr>
        <w:spacing w:before="120" w:after="120"/>
        <w:ind w:left="0"/>
        <w:rPr>
          <w:rFonts w:cstheme="minorHAnsi"/>
          <w:lang w:val="en-US"/>
        </w:rPr>
      </w:pPr>
      <w:r w:rsidRPr="00481841">
        <w:rPr>
          <w:rFonts w:cstheme="minorHAnsi"/>
          <w:lang w:val="en-US"/>
        </w:rPr>
        <w:t xml:space="preserve">The </w:t>
      </w:r>
      <w:r w:rsidR="0064058A" w:rsidRPr="00481841">
        <w:rPr>
          <w:rFonts w:cstheme="minorHAnsi"/>
          <w:lang w:val="en-US"/>
        </w:rPr>
        <w:t>Group</w:t>
      </w:r>
      <w:r w:rsidRPr="00481841">
        <w:rPr>
          <w:rFonts w:cstheme="minorHAnsi"/>
          <w:lang w:val="en-US"/>
        </w:rPr>
        <w:t xml:space="preserve"> will ensure that payments relating to the early termination of an employment contract reflect contribution commensurate with the role and are designed in a way that does not reward poor risk management.</w:t>
      </w:r>
    </w:p>
    <w:p w14:paraId="57229378" w14:textId="18EFDFBD" w:rsidR="00CF6A7F" w:rsidRPr="00481841" w:rsidRDefault="56BAD144" w:rsidP="00481841">
      <w:pPr>
        <w:spacing w:before="120" w:after="120"/>
        <w:ind w:left="0"/>
        <w:rPr>
          <w:rFonts w:cstheme="minorHAnsi"/>
          <w:lang w:val="en-US"/>
        </w:rPr>
      </w:pPr>
      <w:r w:rsidRPr="00481841">
        <w:rPr>
          <w:rFonts w:cstheme="minorHAnsi"/>
          <w:lang w:val="en-US"/>
        </w:rPr>
        <w:t xml:space="preserve">Termination payments made to MRTs are subject to the Malus and Clawback </w:t>
      </w:r>
      <w:r w:rsidR="3072172A" w:rsidRPr="00481841">
        <w:rPr>
          <w:rFonts w:cstheme="minorHAnsi"/>
          <w:lang w:val="en-US"/>
        </w:rPr>
        <w:t>P</w:t>
      </w:r>
      <w:r w:rsidRPr="00481841">
        <w:rPr>
          <w:rFonts w:cstheme="minorHAnsi"/>
          <w:lang w:val="en-US"/>
        </w:rPr>
        <w:t xml:space="preserve">olicy and are paid consistent with the </w:t>
      </w:r>
      <w:r w:rsidR="7D2EA7F6" w:rsidRPr="00481841">
        <w:rPr>
          <w:rFonts w:cstheme="minorHAnsi"/>
          <w:lang w:val="en-US"/>
        </w:rPr>
        <w:t xml:space="preserve">MIFIDPRU Remuneration </w:t>
      </w:r>
      <w:r w:rsidRPr="00481841">
        <w:rPr>
          <w:rFonts w:cstheme="minorHAnsi"/>
          <w:lang w:val="en-US"/>
        </w:rPr>
        <w:t>Code's general requirement</w:t>
      </w:r>
      <w:r w:rsidR="00C44873" w:rsidRPr="00481841">
        <w:rPr>
          <w:rFonts w:cstheme="minorHAnsi"/>
          <w:lang w:val="en-US"/>
        </w:rPr>
        <w:t>s</w:t>
      </w:r>
      <w:r w:rsidRPr="00481841">
        <w:rPr>
          <w:rFonts w:cstheme="minorHAnsi"/>
          <w:lang w:val="en-US"/>
        </w:rPr>
        <w:t xml:space="preserve">. </w:t>
      </w:r>
    </w:p>
    <w:p w14:paraId="73E7BD02" w14:textId="799A387F" w:rsidR="00CF6A7F" w:rsidRPr="00B06917" w:rsidRDefault="56BAD144" w:rsidP="00B06917">
      <w:pPr>
        <w:pStyle w:val="Heading2"/>
        <w:spacing w:before="240"/>
        <w:ind w:left="720"/>
        <w:rPr>
          <w:rFonts w:asciiTheme="minorHAnsi" w:eastAsia="Calibri" w:hAnsiTheme="minorHAnsi" w:cstheme="minorHAnsi"/>
        </w:rPr>
      </w:pPr>
      <w:bookmarkStart w:id="83" w:name="_Toc1646120882"/>
      <w:bookmarkStart w:id="84" w:name="_Toc139016590"/>
      <w:r w:rsidRPr="00B06917">
        <w:rPr>
          <w:rFonts w:asciiTheme="minorHAnsi" w:eastAsia="Calibri" w:hAnsiTheme="minorHAnsi" w:cstheme="minorHAnsi"/>
        </w:rPr>
        <w:t>6.5. Remuneration of Material Risk Takers</w:t>
      </w:r>
      <w:bookmarkEnd w:id="83"/>
      <w:r w:rsidR="00C15BD6" w:rsidRPr="00B06917">
        <w:rPr>
          <w:rFonts w:asciiTheme="minorHAnsi" w:eastAsia="Calibri" w:hAnsiTheme="minorHAnsi" w:cstheme="minorHAnsi"/>
        </w:rPr>
        <w:t xml:space="preserve"> </w:t>
      </w:r>
      <w:r w:rsidR="00166F57" w:rsidRPr="00B06917">
        <w:rPr>
          <w:rFonts w:asciiTheme="minorHAnsi" w:eastAsia="Calibri" w:hAnsiTheme="minorHAnsi" w:cstheme="minorHAnsi"/>
        </w:rPr>
        <w:t xml:space="preserve">- </w:t>
      </w:r>
      <w:r w:rsidR="00870C4E" w:rsidRPr="00B06917">
        <w:rPr>
          <w:rFonts w:asciiTheme="minorHAnsi" w:eastAsia="Calibri" w:hAnsiTheme="minorHAnsi" w:cstheme="minorHAnsi"/>
        </w:rPr>
        <w:t>MRTs</w:t>
      </w:r>
      <w:bookmarkEnd w:id="84"/>
    </w:p>
    <w:p w14:paraId="3134AAEB" w14:textId="0005086C" w:rsidR="00870C4E" w:rsidRPr="00481841" w:rsidRDefault="00D27BC4" w:rsidP="00B06917">
      <w:pPr>
        <w:spacing w:after="120"/>
        <w:ind w:left="0"/>
        <w:rPr>
          <w:rFonts w:cstheme="minorHAnsi"/>
          <w:lang w:val="en-US"/>
        </w:rPr>
      </w:pPr>
      <w:r w:rsidRPr="00512FFC">
        <w:rPr>
          <w:rFonts w:cstheme="minorHAnsi"/>
        </w:rPr>
        <w:br/>
      </w:r>
      <w:r w:rsidR="00870C4E" w:rsidRPr="00481841">
        <w:rPr>
          <w:rFonts w:cstheme="minorHAnsi"/>
          <w:lang w:val="en-US"/>
        </w:rPr>
        <w:t xml:space="preserve">MRTs are staff members whose professional activities have a material impact on the risk profile of the </w:t>
      </w:r>
      <w:r w:rsidR="001B0FC1" w:rsidRPr="00481841">
        <w:rPr>
          <w:rFonts w:cstheme="minorHAnsi"/>
          <w:lang w:val="en-US"/>
        </w:rPr>
        <w:t xml:space="preserve">Group </w:t>
      </w:r>
      <w:r w:rsidR="00870C4E" w:rsidRPr="00481841">
        <w:rPr>
          <w:rFonts w:cstheme="minorHAnsi"/>
          <w:lang w:val="en-US"/>
        </w:rPr>
        <w:t xml:space="preserve">or of the assets that the </w:t>
      </w:r>
      <w:r w:rsidR="001B0FC1" w:rsidRPr="00481841">
        <w:rPr>
          <w:rFonts w:cstheme="minorHAnsi"/>
          <w:lang w:val="en-US"/>
        </w:rPr>
        <w:t>Group</w:t>
      </w:r>
      <w:r w:rsidR="00870C4E" w:rsidRPr="00481841">
        <w:rPr>
          <w:rFonts w:cstheme="minorHAnsi"/>
          <w:lang w:val="en-US"/>
        </w:rPr>
        <w:t xml:space="preserve"> manages</w:t>
      </w:r>
      <w:r w:rsidR="2B9C778E" w:rsidRPr="00481841">
        <w:rPr>
          <w:rFonts w:cstheme="minorHAnsi"/>
          <w:lang w:val="en-US"/>
        </w:rPr>
        <w:t>.</w:t>
      </w:r>
    </w:p>
    <w:p w14:paraId="576FDE4E" w14:textId="307F2489" w:rsidR="00013445" w:rsidRPr="00481841" w:rsidRDefault="09D02DE0" w:rsidP="00481841">
      <w:pPr>
        <w:spacing w:before="120" w:after="120"/>
        <w:ind w:left="0"/>
        <w:rPr>
          <w:rFonts w:cstheme="minorHAnsi"/>
          <w:lang w:val="en-US"/>
        </w:rPr>
      </w:pPr>
      <w:r w:rsidRPr="00481841">
        <w:rPr>
          <w:rFonts w:cstheme="minorHAnsi"/>
          <w:lang w:val="en-US"/>
        </w:rPr>
        <w:t xml:space="preserve">The </w:t>
      </w:r>
      <w:r w:rsidR="00F3398E" w:rsidRPr="00481841">
        <w:rPr>
          <w:rFonts w:cstheme="minorHAnsi"/>
          <w:lang w:val="en-US"/>
        </w:rPr>
        <w:t>Group</w:t>
      </w:r>
      <w:r w:rsidR="31D32B95" w:rsidRPr="00481841">
        <w:rPr>
          <w:rFonts w:cstheme="minorHAnsi"/>
          <w:lang w:val="en-US"/>
        </w:rPr>
        <w:t xml:space="preserve">’s MRTs include </w:t>
      </w:r>
      <w:r w:rsidR="2D50984D" w:rsidRPr="00481841">
        <w:rPr>
          <w:rFonts w:cstheme="minorHAnsi"/>
          <w:lang w:val="en-US"/>
        </w:rPr>
        <w:t>s</w:t>
      </w:r>
      <w:r w:rsidR="31D32B95" w:rsidRPr="00481841">
        <w:rPr>
          <w:rFonts w:cstheme="minorHAnsi"/>
          <w:lang w:val="en-US"/>
        </w:rPr>
        <w:t xml:space="preserve">enior </w:t>
      </w:r>
      <w:r w:rsidR="2957BC6F" w:rsidRPr="00481841">
        <w:rPr>
          <w:rFonts w:cstheme="minorHAnsi"/>
          <w:lang w:val="en-US"/>
        </w:rPr>
        <w:t>m</w:t>
      </w:r>
      <w:r w:rsidR="31D32B95" w:rsidRPr="00481841">
        <w:rPr>
          <w:rFonts w:cstheme="minorHAnsi"/>
          <w:lang w:val="en-US"/>
        </w:rPr>
        <w:t>anagement</w:t>
      </w:r>
      <w:r w:rsidR="216AFAE6" w:rsidRPr="00481841">
        <w:rPr>
          <w:rFonts w:cstheme="minorHAnsi"/>
          <w:lang w:val="en-US"/>
        </w:rPr>
        <w:t xml:space="preserve"> </w:t>
      </w:r>
      <w:r w:rsidR="1DC78AD3" w:rsidRPr="00481841">
        <w:rPr>
          <w:rFonts w:cstheme="minorHAnsi"/>
          <w:lang w:val="en-US"/>
        </w:rPr>
        <w:t xml:space="preserve">of the </w:t>
      </w:r>
      <w:r w:rsidR="00F3398E" w:rsidRPr="00481841">
        <w:rPr>
          <w:rFonts w:cstheme="minorHAnsi"/>
          <w:lang w:val="en-US"/>
        </w:rPr>
        <w:t>Group</w:t>
      </w:r>
      <w:r w:rsidR="216AFAE6" w:rsidRPr="00481841">
        <w:rPr>
          <w:rFonts w:cstheme="minorHAnsi"/>
          <w:lang w:val="en-US"/>
        </w:rPr>
        <w:t xml:space="preserve"> </w:t>
      </w:r>
      <w:r w:rsidR="12306F44" w:rsidRPr="00481841">
        <w:rPr>
          <w:rFonts w:cstheme="minorHAnsi"/>
          <w:lang w:val="en-US"/>
        </w:rPr>
        <w:t xml:space="preserve">(“Senior Management”) </w:t>
      </w:r>
      <w:r w:rsidR="216AFAE6" w:rsidRPr="00481841">
        <w:rPr>
          <w:rFonts w:cstheme="minorHAnsi"/>
          <w:lang w:val="en-US"/>
        </w:rPr>
        <w:t xml:space="preserve">and </w:t>
      </w:r>
      <w:r w:rsidR="471D6BD0" w:rsidRPr="00481841">
        <w:rPr>
          <w:rFonts w:cstheme="minorHAnsi"/>
          <w:lang w:val="en-US"/>
        </w:rPr>
        <w:t>the heads of</w:t>
      </w:r>
      <w:r w:rsidR="1025D22B" w:rsidRPr="00481841">
        <w:rPr>
          <w:rFonts w:cstheme="minorHAnsi"/>
          <w:lang w:val="en-US"/>
        </w:rPr>
        <w:t xml:space="preserve"> </w:t>
      </w:r>
      <w:r w:rsidR="68D9A5E8" w:rsidRPr="00481841">
        <w:rPr>
          <w:rFonts w:cstheme="minorHAnsi"/>
          <w:lang w:val="en-US"/>
        </w:rPr>
        <w:t>control function</w:t>
      </w:r>
      <w:r w:rsidR="471D6BD0" w:rsidRPr="00481841">
        <w:rPr>
          <w:rFonts w:cstheme="minorHAnsi"/>
          <w:lang w:val="en-US"/>
        </w:rPr>
        <w:t>s</w:t>
      </w:r>
      <w:r w:rsidR="287F7C65" w:rsidRPr="00481841">
        <w:rPr>
          <w:rFonts w:cstheme="minorHAnsi"/>
          <w:lang w:val="en-US"/>
        </w:rPr>
        <w:t xml:space="preserve"> and individual</w:t>
      </w:r>
      <w:r w:rsidR="0F6D700A" w:rsidRPr="00481841">
        <w:rPr>
          <w:rFonts w:cstheme="minorHAnsi"/>
          <w:lang w:val="en-US"/>
        </w:rPr>
        <w:t>s</w:t>
      </w:r>
      <w:r w:rsidR="7A6F3B08" w:rsidRPr="00481841">
        <w:rPr>
          <w:rFonts w:cstheme="minorHAnsi"/>
          <w:lang w:val="en-US"/>
        </w:rPr>
        <w:t xml:space="preserve"> </w:t>
      </w:r>
      <w:r w:rsidR="0F6D700A" w:rsidRPr="00481841">
        <w:rPr>
          <w:rFonts w:cstheme="minorHAnsi"/>
          <w:lang w:val="en-US"/>
        </w:rPr>
        <w:t>whose professional activities have a materia</w:t>
      </w:r>
      <w:r w:rsidR="7CB74E84" w:rsidRPr="00481841">
        <w:rPr>
          <w:rFonts w:cstheme="minorHAnsi"/>
          <w:lang w:val="en-US"/>
        </w:rPr>
        <w:t xml:space="preserve">l impact on the </w:t>
      </w:r>
      <w:r w:rsidR="00F3398E" w:rsidRPr="00481841">
        <w:rPr>
          <w:rFonts w:cstheme="minorHAnsi"/>
          <w:lang w:val="en-US"/>
        </w:rPr>
        <w:t>Group</w:t>
      </w:r>
      <w:r w:rsidR="7CB74E84" w:rsidRPr="00481841">
        <w:rPr>
          <w:rFonts w:cstheme="minorHAnsi"/>
          <w:lang w:val="en-US"/>
        </w:rPr>
        <w:t xml:space="preserve">’s </w:t>
      </w:r>
      <w:r w:rsidR="5E122A44" w:rsidRPr="00481841">
        <w:rPr>
          <w:rFonts w:cstheme="minorHAnsi"/>
          <w:lang w:val="en-US"/>
        </w:rPr>
        <w:t>risk profile</w:t>
      </w:r>
      <w:r w:rsidR="7A6F3B08" w:rsidRPr="00481841">
        <w:rPr>
          <w:rFonts w:cstheme="minorHAnsi"/>
          <w:lang w:val="en-US"/>
        </w:rPr>
        <w:t xml:space="preserve">. </w:t>
      </w:r>
    </w:p>
    <w:p w14:paraId="49EB734A" w14:textId="6F1F9FC3" w:rsidR="00E911AE" w:rsidRPr="00481841" w:rsidRDefault="4786636D" w:rsidP="00481841">
      <w:pPr>
        <w:spacing w:before="120" w:after="120"/>
        <w:ind w:left="0"/>
        <w:rPr>
          <w:rFonts w:cstheme="minorHAnsi"/>
          <w:lang w:val="en-US"/>
        </w:rPr>
      </w:pPr>
      <w:r w:rsidRPr="00481841">
        <w:rPr>
          <w:rFonts w:cstheme="minorHAnsi"/>
          <w:lang w:val="en-US"/>
        </w:rPr>
        <w:t>While the FCA has clearly identified Compliance and Internal Audit as being control functions, for the purposes of this Policy, the UK Head</w:t>
      </w:r>
      <w:r w:rsidR="1C0E4A72" w:rsidRPr="00481841">
        <w:rPr>
          <w:rFonts w:cstheme="minorHAnsi"/>
          <w:lang w:val="en-US"/>
        </w:rPr>
        <w:t>s</w:t>
      </w:r>
      <w:r w:rsidRPr="00481841">
        <w:rPr>
          <w:rFonts w:cstheme="minorHAnsi"/>
          <w:lang w:val="en-US"/>
        </w:rPr>
        <w:t xml:space="preserve"> of Legal, Finance, Human Resources, and Operations </w:t>
      </w:r>
      <w:r w:rsidR="38DF4B37" w:rsidRPr="00481841">
        <w:rPr>
          <w:rFonts w:cstheme="minorHAnsi"/>
          <w:lang w:val="en-US"/>
        </w:rPr>
        <w:t>have</w:t>
      </w:r>
      <w:r w:rsidRPr="00481841">
        <w:rPr>
          <w:rFonts w:cstheme="minorHAnsi"/>
          <w:lang w:val="en-US"/>
        </w:rPr>
        <w:t xml:space="preserve"> also be</w:t>
      </w:r>
      <w:r w:rsidR="113F70A8" w:rsidRPr="00481841">
        <w:rPr>
          <w:rFonts w:cstheme="minorHAnsi"/>
          <w:lang w:val="en-US"/>
        </w:rPr>
        <w:t>en</w:t>
      </w:r>
      <w:r w:rsidRPr="00481841">
        <w:rPr>
          <w:rFonts w:cstheme="minorHAnsi"/>
          <w:lang w:val="en-US"/>
        </w:rPr>
        <w:t xml:space="preserve"> deemed </w:t>
      </w:r>
      <w:r w:rsidR="39DB0015" w:rsidRPr="00481841">
        <w:rPr>
          <w:rFonts w:cstheme="minorHAnsi"/>
          <w:lang w:val="en-US"/>
        </w:rPr>
        <w:t>control</w:t>
      </w:r>
      <w:r w:rsidRPr="00481841">
        <w:rPr>
          <w:rFonts w:cstheme="minorHAnsi"/>
          <w:lang w:val="en-US"/>
        </w:rPr>
        <w:t xml:space="preserve"> functions </w:t>
      </w:r>
      <w:r w:rsidR="0B69BB46" w:rsidRPr="00481841">
        <w:rPr>
          <w:rFonts w:cstheme="minorHAnsi"/>
          <w:lang w:val="en-US"/>
        </w:rPr>
        <w:t>(</w:t>
      </w:r>
      <w:r w:rsidR="00F2A340" w:rsidRPr="00481841">
        <w:rPr>
          <w:rFonts w:cstheme="minorHAnsi"/>
          <w:lang w:val="en-US"/>
        </w:rPr>
        <w:t xml:space="preserve">together, the </w:t>
      </w:r>
      <w:r w:rsidR="0B69BB46" w:rsidRPr="00481841">
        <w:rPr>
          <w:rFonts w:cstheme="minorHAnsi"/>
          <w:lang w:val="en-US"/>
        </w:rPr>
        <w:t>“</w:t>
      </w:r>
      <w:r w:rsidR="744DBD36" w:rsidRPr="00481841">
        <w:rPr>
          <w:rFonts w:cstheme="minorHAnsi"/>
          <w:lang w:val="en-US"/>
        </w:rPr>
        <w:t xml:space="preserve">Other MRTs”) </w:t>
      </w:r>
      <w:r w:rsidRPr="00481841">
        <w:rPr>
          <w:rFonts w:cstheme="minorHAnsi"/>
          <w:lang w:val="en-US"/>
        </w:rPr>
        <w:t xml:space="preserve">as they </w:t>
      </w:r>
      <w:proofErr w:type="gramStart"/>
      <w:r w:rsidRPr="00481841">
        <w:rPr>
          <w:rFonts w:cstheme="minorHAnsi"/>
          <w:lang w:val="en-US"/>
        </w:rPr>
        <w:t>have the ability to</w:t>
      </w:r>
      <w:proofErr w:type="gramEnd"/>
      <w:r w:rsidRPr="00481841">
        <w:rPr>
          <w:rFonts w:cstheme="minorHAnsi"/>
          <w:lang w:val="en-US"/>
        </w:rPr>
        <w:t xml:space="preserve"> exercise significant influence on the </w:t>
      </w:r>
      <w:r w:rsidR="009C51FE" w:rsidRPr="00481841">
        <w:rPr>
          <w:rFonts w:cstheme="minorHAnsi"/>
          <w:lang w:val="en-US"/>
        </w:rPr>
        <w:t>Group</w:t>
      </w:r>
      <w:r w:rsidRPr="00481841">
        <w:rPr>
          <w:rFonts w:cstheme="minorHAnsi"/>
          <w:lang w:val="en-US"/>
        </w:rPr>
        <w:t xml:space="preserve">’s affairs and contribute to maintain various safeguards within the </w:t>
      </w:r>
      <w:r w:rsidR="009C51FE" w:rsidRPr="00481841">
        <w:rPr>
          <w:rFonts w:cstheme="minorHAnsi"/>
          <w:lang w:val="en-US"/>
        </w:rPr>
        <w:t>Group</w:t>
      </w:r>
      <w:r w:rsidRPr="00481841">
        <w:rPr>
          <w:rFonts w:cstheme="minorHAnsi"/>
          <w:lang w:val="en-US"/>
        </w:rPr>
        <w:t>.</w:t>
      </w:r>
    </w:p>
    <w:p w14:paraId="39C12C0E" w14:textId="3BF7F405" w:rsidR="00392620" w:rsidRDefault="00B07F6C" w:rsidP="00481841">
      <w:pPr>
        <w:spacing w:before="120" w:after="120"/>
        <w:ind w:left="0"/>
        <w:rPr>
          <w:rFonts w:cstheme="minorHAnsi"/>
          <w:lang w:val="en-US"/>
        </w:rPr>
      </w:pPr>
      <w:r w:rsidRPr="00481841">
        <w:rPr>
          <w:rFonts w:cstheme="minorHAnsi"/>
          <w:lang w:val="en-US"/>
        </w:rPr>
        <w:t>Where</w:t>
      </w:r>
      <w:r w:rsidR="00A35915" w:rsidRPr="00481841">
        <w:rPr>
          <w:rFonts w:cstheme="minorHAnsi"/>
          <w:lang w:val="en-US"/>
        </w:rPr>
        <w:t xml:space="preserve"> individuals </w:t>
      </w:r>
      <w:r w:rsidR="001B5B32" w:rsidRPr="00481841">
        <w:rPr>
          <w:rFonts w:cstheme="minorHAnsi"/>
          <w:lang w:val="en-US"/>
        </w:rPr>
        <w:t>have both senior management and control function responsibilities</w:t>
      </w:r>
      <w:r w:rsidRPr="00481841">
        <w:rPr>
          <w:rFonts w:cstheme="minorHAnsi"/>
          <w:lang w:val="en-US"/>
        </w:rPr>
        <w:t>, they</w:t>
      </w:r>
      <w:r w:rsidR="00173542" w:rsidRPr="00481841">
        <w:rPr>
          <w:rFonts w:cstheme="minorHAnsi"/>
          <w:lang w:val="en-US"/>
        </w:rPr>
        <w:t xml:space="preserve"> are included within</w:t>
      </w:r>
      <w:r w:rsidR="00676587" w:rsidRPr="00481841">
        <w:rPr>
          <w:rFonts w:cstheme="minorHAnsi"/>
          <w:lang w:val="en-US"/>
        </w:rPr>
        <w:t xml:space="preserve"> Other</w:t>
      </w:r>
      <w:r w:rsidRPr="00481841">
        <w:rPr>
          <w:rFonts w:cstheme="minorHAnsi"/>
          <w:lang w:val="en-US"/>
        </w:rPr>
        <w:t xml:space="preserve"> </w:t>
      </w:r>
      <w:r w:rsidR="00676587" w:rsidRPr="00481841">
        <w:rPr>
          <w:rFonts w:cstheme="minorHAnsi"/>
          <w:lang w:val="en-US"/>
        </w:rPr>
        <w:t>MRTs</w:t>
      </w:r>
      <w:r w:rsidR="009A1CC6" w:rsidRPr="00481841">
        <w:rPr>
          <w:rFonts w:cstheme="minorHAnsi"/>
          <w:lang w:val="en-US"/>
        </w:rPr>
        <w:t>.</w:t>
      </w:r>
    </w:p>
    <w:p w14:paraId="325930FE" w14:textId="22B95D90" w:rsidR="00392620" w:rsidRDefault="00392620" w:rsidP="00481841">
      <w:pPr>
        <w:spacing w:before="120" w:after="120"/>
        <w:ind w:left="0"/>
        <w:rPr>
          <w:rFonts w:cstheme="minorHAnsi"/>
          <w:lang w:val="en-US"/>
        </w:rPr>
      </w:pPr>
    </w:p>
    <w:p w14:paraId="3C471642" w14:textId="0E2DBD9E" w:rsidR="00392620" w:rsidRDefault="00392620" w:rsidP="00481841">
      <w:pPr>
        <w:spacing w:before="120" w:after="120"/>
        <w:ind w:left="0"/>
        <w:rPr>
          <w:rFonts w:cstheme="minorHAnsi"/>
          <w:lang w:val="en-US"/>
        </w:rPr>
      </w:pPr>
    </w:p>
    <w:p w14:paraId="0BD00F7F" w14:textId="47EF3E59" w:rsidR="00392620" w:rsidRDefault="00392620" w:rsidP="00481841">
      <w:pPr>
        <w:spacing w:before="120" w:after="120"/>
        <w:ind w:left="0"/>
        <w:rPr>
          <w:rFonts w:cstheme="minorHAnsi"/>
          <w:lang w:val="en-US"/>
        </w:rPr>
      </w:pPr>
    </w:p>
    <w:p w14:paraId="4037B38D" w14:textId="33EFEC2F" w:rsidR="00392620" w:rsidRDefault="00392620" w:rsidP="00481841">
      <w:pPr>
        <w:spacing w:before="120" w:after="120"/>
        <w:ind w:left="0"/>
        <w:rPr>
          <w:rFonts w:cstheme="minorHAnsi"/>
          <w:lang w:val="en-US"/>
        </w:rPr>
      </w:pPr>
    </w:p>
    <w:p w14:paraId="16449740" w14:textId="606B335C" w:rsidR="00392620" w:rsidRDefault="00392620" w:rsidP="00481841">
      <w:pPr>
        <w:spacing w:before="120" w:after="120"/>
        <w:ind w:left="0"/>
        <w:rPr>
          <w:rFonts w:cstheme="minorHAnsi"/>
          <w:lang w:val="en-US"/>
        </w:rPr>
      </w:pPr>
    </w:p>
    <w:p w14:paraId="0B9E4AB5" w14:textId="52A4C603" w:rsidR="00392620" w:rsidRDefault="00392620" w:rsidP="00481841">
      <w:pPr>
        <w:spacing w:before="120" w:after="120"/>
        <w:ind w:left="0"/>
        <w:rPr>
          <w:rFonts w:cstheme="minorHAnsi"/>
          <w:lang w:val="en-US"/>
        </w:rPr>
      </w:pPr>
    </w:p>
    <w:p w14:paraId="27620B2D" w14:textId="77777777" w:rsidR="00392620" w:rsidRDefault="00392620" w:rsidP="00481841">
      <w:pPr>
        <w:spacing w:before="120" w:after="120"/>
        <w:ind w:left="0"/>
        <w:rPr>
          <w:rFonts w:cstheme="minorHAnsi"/>
          <w:lang w:val="en-US"/>
        </w:rPr>
      </w:pPr>
    </w:p>
    <w:p w14:paraId="79CC19E1" w14:textId="6FD453B5" w:rsidR="00CF6A7F" w:rsidRPr="00481841" w:rsidRDefault="56BAD144" w:rsidP="00481841">
      <w:pPr>
        <w:spacing w:before="120" w:after="120"/>
        <w:ind w:left="0"/>
        <w:rPr>
          <w:rFonts w:cstheme="minorHAnsi"/>
          <w:lang w:val="en-US"/>
        </w:rPr>
      </w:pPr>
      <w:r w:rsidRPr="00481841">
        <w:rPr>
          <w:rFonts w:cstheme="minorHAnsi"/>
          <w:lang w:val="en-US"/>
        </w:rPr>
        <w:lastRenderedPageBreak/>
        <w:t>The table below provides the gross aggregate remuneration</w:t>
      </w:r>
      <w:r w:rsidR="03CE7747" w:rsidRPr="00481841">
        <w:rPr>
          <w:rFonts w:cstheme="minorHAnsi"/>
          <w:lang w:val="en-US"/>
        </w:rPr>
        <w:t xml:space="preserve"> awarded </w:t>
      </w:r>
      <w:r w:rsidR="4BA263AA" w:rsidRPr="00481841">
        <w:rPr>
          <w:rFonts w:cstheme="minorHAnsi"/>
          <w:lang w:val="en-US"/>
        </w:rPr>
        <w:t>to</w:t>
      </w:r>
      <w:r w:rsidR="06253FA0" w:rsidRPr="00481841">
        <w:rPr>
          <w:rFonts w:cstheme="minorHAnsi"/>
          <w:lang w:val="en-US"/>
        </w:rPr>
        <w:t xml:space="preserve"> the </w:t>
      </w:r>
      <w:r w:rsidR="009C51FE" w:rsidRPr="00481841">
        <w:rPr>
          <w:rFonts w:cstheme="minorHAnsi"/>
          <w:lang w:val="en-US"/>
        </w:rPr>
        <w:t>Group</w:t>
      </w:r>
      <w:r w:rsidRPr="00481841">
        <w:rPr>
          <w:rFonts w:cstheme="minorHAnsi"/>
          <w:lang w:val="en-US"/>
        </w:rPr>
        <w:t xml:space="preserve">’s </w:t>
      </w:r>
      <w:r w:rsidR="00B15E9F" w:rsidRPr="00481841">
        <w:rPr>
          <w:rFonts w:cstheme="minorHAnsi"/>
          <w:lang w:val="en-US"/>
        </w:rPr>
        <w:t>M</w:t>
      </w:r>
      <w:r w:rsidR="00E37D27" w:rsidRPr="00481841">
        <w:rPr>
          <w:rFonts w:cstheme="minorHAnsi"/>
          <w:lang w:val="en-US"/>
        </w:rPr>
        <w:t>RTs</w:t>
      </w:r>
      <w:r w:rsidRPr="00481841">
        <w:rPr>
          <w:rFonts w:cstheme="minorHAnsi"/>
          <w:lang w:val="en-US"/>
        </w:rPr>
        <w:t xml:space="preserve"> and other staff broken down by fixed and variable remuneration for the year ending 31 December </w:t>
      </w:r>
      <w:r w:rsidR="006F36F5" w:rsidRPr="00481841">
        <w:rPr>
          <w:rFonts w:cstheme="minorHAnsi"/>
          <w:lang w:val="en-US"/>
        </w:rPr>
        <w:t>202</w:t>
      </w:r>
      <w:r w:rsidR="006F36F5">
        <w:rPr>
          <w:rFonts w:cstheme="minorHAnsi"/>
          <w:lang w:val="en-US"/>
        </w:rPr>
        <w:t>3</w:t>
      </w:r>
      <w:r w:rsidRPr="00481841">
        <w:rPr>
          <w:rFonts w:cstheme="minorHAnsi"/>
          <w:lang w:val="en-US"/>
        </w:rPr>
        <w:t>.</w:t>
      </w:r>
    </w:p>
    <w:p w14:paraId="6B6C0DF2" w14:textId="13E02520" w:rsidR="00CF6A7F" w:rsidRPr="00512FFC" w:rsidRDefault="56BAD144" w:rsidP="00DD593A">
      <w:pPr>
        <w:ind w:left="0"/>
        <w:rPr>
          <w:rFonts w:eastAsia="Times New Roman" w:cstheme="minorHAnsi"/>
          <w:b/>
          <w:bCs/>
          <w:i/>
          <w:iCs/>
          <w:lang w:eastAsia="el-GR"/>
        </w:rPr>
      </w:pPr>
      <w:r w:rsidRPr="00EF4324">
        <w:rPr>
          <w:rFonts w:eastAsia="Times New Roman" w:cstheme="minorHAnsi"/>
          <w:b/>
          <w:bCs/>
          <w:i/>
          <w:iCs/>
          <w:lang w:eastAsia="el-GR"/>
        </w:rPr>
        <w:t xml:space="preserve">Table </w:t>
      </w:r>
      <w:r w:rsidR="004B3AEA" w:rsidRPr="00EF4324">
        <w:rPr>
          <w:rFonts w:eastAsia="Times New Roman" w:cstheme="minorHAnsi"/>
          <w:b/>
          <w:bCs/>
          <w:i/>
          <w:iCs/>
          <w:lang w:eastAsia="el-GR"/>
        </w:rPr>
        <w:t>8</w:t>
      </w:r>
      <w:r w:rsidRPr="00EF4324">
        <w:rPr>
          <w:rFonts w:eastAsia="Times New Roman" w:cstheme="minorHAnsi"/>
          <w:b/>
          <w:bCs/>
          <w:i/>
          <w:iCs/>
          <w:lang w:eastAsia="el-GR"/>
        </w:rPr>
        <w:t xml:space="preserve">: </w:t>
      </w:r>
      <w:r w:rsidR="00800711" w:rsidRPr="00EF4324">
        <w:rPr>
          <w:rFonts w:eastAsia="Times New Roman" w:cstheme="minorHAnsi"/>
          <w:b/>
          <w:bCs/>
          <w:i/>
          <w:iCs/>
          <w:lang w:eastAsia="el-GR"/>
        </w:rPr>
        <w:t>Remuneration split of staff whose activities have a material impact on the risk profile of the</w:t>
      </w:r>
      <w:r w:rsidR="00392620">
        <w:rPr>
          <w:rFonts w:eastAsia="Times New Roman" w:cstheme="minorHAnsi"/>
          <w:b/>
          <w:bCs/>
          <w:i/>
          <w:iCs/>
          <w:lang w:eastAsia="el-GR"/>
        </w:rPr>
        <w:t xml:space="preserve"> </w:t>
      </w:r>
      <w:proofErr w:type="gramStart"/>
      <w:r w:rsidR="009C51FE" w:rsidRPr="00EF4324">
        <w:rPr>
          <w:rFonts w:eastAsia="Times New Roman" w:cstheme="minorHAnsi"/>
          <w:b/>
          <w:bCs/>
          <w:i/>
          <w:iCs/>
          <w:lang w:eastAsia="el-GR"/>
        </w:rPr>
        <w:t>Group</w:t>
      </w:r>
      <w:proofErr w:type="gramEnd"/>
    </w:p>
    <w:tbl>
      <w:tblPr>
        <w:tblStyle w:val="GridTable5Dark-Accent1"/>
        <w:tblW w:w="0" w:type="auto"/>
        <w:jc w:val="center"/>
        <w:tblLayout w:type="fixed"/>
        <w:tblCellMar>
          <w:left w:w="57" w:type="dxa"/>
          <w:right w:w="57" w:type="dxa"/>
        </w:tblCellMar>
        <w:tblLook w:val="04A0" w:firstRow="1" w:lastRow="0" w:firstColumn="1" w:lastColumn="0" w:noHBand="0" w:noVBand="1"/>
      </w:tblPr>
      <w:tblGrid>
        <w:gridCol w:w="1550"/>
        <w:gridCol w:w="1627"/>
        <w:gridCol w:w="1943"/>
        <w:gridCol w:w="1943"/>
        <w:gridCol w:w="1943"/>
      </w:tblGrid>
      <w:tr w:rsidR="24030BDA" w:rsidRPr="00512FFC" w14:paraId="3029601D" w14:textId="77777777" w:rsidTr="5B81AB2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06"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vAlign w:val="center"/>
          </w:tcPr>
          <w:p w14:paraId="62CF3273" w14:textId="0F42610E" w:rsidR="24030BDA" w:rsidRPr="00512FFC" w:rsidRDefault="24030BDA" w:rsidP="00DD593A">
            <w:pPr>
              <w:jc w:val="center"/>
              <w:rPr>
                <w:rFonts w:eastAsia="Calibri" w:cstheme="minorHAnsi"/>
              </w:rPr>
            </w:pPr>
            <w:r w:rsidRPr="00512FFC">
              <w:rPr>
                <w:rFonts w:eastAsia="Calibri" w:cstheme="minorHAnsi"/>
              </w:rPr>
              <w:t xml:space="preserve">Annual Remuneration as </w:t>
            </w:r>
            <w:proofErr w:type="gramStart"/>
            <w:r w:rsidRPr="00512FFC">
              <w:rPr>
                <w:rFonts w:eastAsia="Calibri" w:cstheme="minorHAnsi"/>
              </w:rPr>
              <w:t>at</w:t>
            </w:r>
            <w:proofErr w:type="gramEnd"/>
            <w:r w:rsidRPr="00512FFC">
              <w:rPr>
                <w:rFonts w:eastAsia="Calibri" w:cstheme="minorHAnsi"/>
              </w:rPr>
              <w:t xml:space="preserve"> 31</w:t>
            </w:r>
            <w:r w:rsidRPr="00512FFC">
              <w:rPr>
                <w:rFonts w:eastAsia="Calibri" w:cstheme="minorHAnsi"/>
                <w:vertAlign w:val="superscript"/>
              </w:rPr>
              <w:t>st</w:t>
            </w:r>
            <w:r w:rsidRPr="00512FFC">
              <w:rPr>
                <w:rFonts w:eastAsia="Calibri" w:cstheme="minorHAnsi"/>
              </w:rPr>
              <w:t xml:space="preserve"> December </w:t>
            </w:r>
            <w:r w:rsidR="006F36F5" w:rsidRPr="00512FFC">
              <w:rPr>
                <w:rFonts w:eastAsia="Calibri" w:cstheme="minorHAnsi"/>
              </w:rPr>
              <w:t>202</w:t>
            </w:r>
            <w:r w:rsidR="006F36F5">
              <w:rPr>
                <w:rFonts w:eastAsia="Calibri" w:cstheme="minorHAnsi"/>
              </w:rPr>
              <w:t>3</w:t>
            </w:r>
          </w:p>
        </w:tc>
      </w:tr>
      <w:tr w:rsidR="00DF7622" w:rsidRPr="00512FFC" w14:paraId="346AA775" w14:textId="77777777" w:rsidTr="00956DD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0" w:type="dxa"/>
            <w:tcMar>
              <w:left w:w="108" w:type="dxa"/>
              <w:right w:w="108" w:type="dxa"/>
            </w:tcMar>
          </w:tcPr>
          <w:p w14:paraId="5EC9E93C" w14:textId="56B9199C" w:rsidR="00DF7622" w:rsidRPr="00512FFC" w:rsidRDefault="00DF7622" w:rsidP="00DF7622">
            <w:pPr>
              <w:ind w:left="0"/>
              <w:jc w:val="center"/>
              <w:rPr>
                <w:rFonts w:eastAsia="Calibri" w:cstheme="minorHAnsi"/>
              </w:rPr>
            </w:pPr>
            <w:r>
              <w:rPr>
                <w:rFonts w:cstheme="minorHAnsi"/>
              </w:rPr>
              <w:t>Position</w:t>
            </w:r>
          </w:p>
        </w:tc>
        <w:tc>
          <w:tcPr>
            <w:tcW w:w="1627" w:type="dxa"/>
            <w:shd w:val="clear" w:color="auto" w:fill="4472C4" w:themeFill="accent1"/>
            <w:tcMar>
              <w:left w:w="108" w:type="dxa"/>
              <w:right w:w="108" w:type="dxa"/>
            </w:tcMar>
          </w:tcPr>
          <w:p w14:paraId="5AD902F5" w14:textId="3EF3F7A6" w:rsidR="00DF7622" w:rsidRPr="00512FFC" w:rsidRDefault="00DF7622" w:rsidP="00DF7622">
            <w:pPr>
              <w:ind w:left="-104"/>
              <w:jc w:val="center"/>
              <w:cnfStyle w:val="000000100000" w:firstRow="0" w:lastRow="0" w:firstColumn="0" w:lastColumn="0" w:oddVBand="0" w:evenVBand="0" w:oddHBand="1" w:evenHBand="0" w:firstRowFirstColumn="0" w:firstRowLastColumn="0" w:lastRowFirstColumn="0" w:lastRowLastColumn="0"/>
              <w:rPr>
                <w:rFonts w:eastAsia="Calibri" w:cstheme="minorHAnsi"/>
                <w:b/>
                <w:bCs/>
                <w:color w:val="FFFFFF" w:themeColor="background1"/>
              </w:rPr>
            </w:pPr>
            <w:r w:rsidRPr="008963E9">
              <w:rPr>
                <w:rFonts w:cstheme="minorHAnsi"/>
                <w:b/>
                <w:bCs/>
                <w:color w:val="FFFFFF" w:themeColor="background1"/>
              </w:rPr>
              <w:t>No. of Beneficiaries</w:t>
            </w:r>
          </w:p>
        </w:tc>
        <w:tc>
          <w:tcPr>
            <w:tcW w:w="1943" w:type="dxa"/>
            <w:shd w:val="clear" w:color="auto" w:fill="4472C4" w:themeFill="accent1"/>
            <w:tcMar>
              <w:left w:w="108" w:type="dxa"/>
              <w:right w:w="108" w:type="dxa"/>
            </w:tcMar>
          </w:tcPr>
          <w:p w14:paraId="07E5BE25" w14:textId="646D8812" w:rsidR="00DF7622" w:rsidRPr="00512FFC" w:rsidRDefault="00DF7622" w:rsidP="00DF7622">
            <w:pPr>
              <w:ind w:left="-38"/>
              <w:jc w:val="center"/>
              <w:cnfStyle w:val="000000100000" w:firstRow="0" w:lastRow="0" w:firstColumn="0" w:lastColumn="0" w:oddVBand="0" w:evenVBand="0" w:oddHBand="1" w:evenHBand="0" w:firstRowFirstColumn="0" w:firstRowLastColumn="0" w:lastRowFirstColumn="0" w:lastRowLastColumn="0"/>
              <w:rPr>
                <w:rFonts w:eastAsia="Calibri" w:cstheme="minorHAnsi"/>
                <w:b/>
                <w:bCs/>
                <w:color w:val="FFFFFF" w:themeColor="background1"/>
              </w:rPr>
            </w:pPr>
            <w:r w:rsidRPr="008963E9">
              <w:rPr>
                <w:rFonts w:cstheme="minorHAnsi"/>
                <w:b/>
                <w:bCs/>
                <w:color w:val="FFFFFF" w:themeColor="background1"/>
              </w:rPr>
              <w:t>Fixed Remuneration</w:t>
            </w:r>
          </w:p>
        </w:tc>
        <w:tc>
          <w:tcPr>
            <w:tcW w:w="1943" w:type="dxa"/>
            <w:shd w:val="clear" w:color="auto" w:fill="4472C4" w:themeFill="accent1"/>
            <w:tcMar>
              <w:left w:w="108" w:type="dxa"/>
              <w:right w:w="108" w:type="dxa"/>
            </w:tcMar>
          </w:tcPr>
          <w:p w14:paraId="2D161C75" w14:textId="6F6F4DB5" w:rsidR="00DF7622" w:rsidRPr="00512FFC" w:rsidRDefault="00DF7622" w:rsidP="00DF7622">
            <w:pPr>
              <w:ind w:left="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color w:val="FFFFFF" w:themeColor="background1"/>
              </w:rPr>
            </w:pPr>
            <w:r w:rsidRPr="008963E9">
              <w:rPr>
                <w:rFonts w:cstheme="minorHAnsi"/>
                <w:b/>
                <w:bCs/>
                <w:color w:val="FFFFFF" w:themeColor="background1"/>
              </w:rPr>
              <w:t>Variable Remuneration</w:t>
            </w:r>
          </w:p>
        </w:tc>
        <w:tc>
          <w:tcPr>
            <w:tcW w:w="1943" w:type="dxa"/>
            <w:shd w:val="clear" w:color="auto" w:fill="4472C4" w:themeFill="accent1"/>
            <w:tcMar>
              <w:left w:w="108" w:type="dxa"/>
              <w:right w:w="108" w:type="dxa"/>
            </w:tcMar>
          </w:tcPr>
          <w:p w14:paraId="57CCEEE1" w14:textId="08E3749E" w:rsidR="00DF7622" w:rsidRPr="00512FFC" w:rsidRDefault="00DF7622" w:rsidP="00DF7622">
            <w:pPr>
              <w:ind w:left="-96"/>
              <w:jc w:val="center"/>
              <w:cnfStyle w:val="000000100000" w:firstRow="0" w:lastRow="0" w:firstColumn="0" w:lastColumn="0" w:oddVBand="0" w:evenVBand="0" w:oddHBand="1" w:evenHBand="0" w:firstRowFirstColumn="0" w:firstRowLastColumn="0" w:lastRowFirstColumn="0" w:lastRowLastColumn="0"/>
              <w:rPr>
                <w:rFonts w:eastAsia="Calibri" w:cstheme="minorHAnsi"/>
                <w:b/>
                <w:bCs/>
                <w:color w:val="FFFFFF" w:themeColor="background1"/>
              </w:rPr>
            </w:pPr>
            <w:r w:rsidRPr="008963E9">
              <w:rPr>
                <w:rFonts w:cstheme="minorHAnsi"/>
                <w:b/>
                <w:bCs/>
                <w:color w:val="FFFFFF" w:themeColor="background1"/>
              </w:rPr>
              <w:t>Aggregated Remuneration</w:t>
            </w:r>
          </w:p>
        </w:tc>
      </w:tr>
      <w:tr w:rsidR="00DF7622" w:rsidRPr="00512FFC" w14:paraId="6B5E36DE" w14:textId="77777777" w:rsidTr="00DF7622">
        <w:trPr>
          <w:trHeight w:val="510"/>
          <w:jc w:val="center"/>
        </w:trPr>
        <w:tc>
          <w:tcPr>
            <w:cnfStyle w:val="001000000000" w:firstRow="0" w:lastRow="0" w:firstColumn="1" w:lastColumn="0" w:oddVBand="0" w:evenVBand="0" w:oddHBand="0" w:evenHBand="0" w:firstRowFirstColumn="0" w:firstRowLastColumn="0" w:lastRowFirstColumn="0" w:lastRowLastColumn="0"/>
            <w:tcW w:w="1550" w:type="dxa"/>
            <w:tcBorders>
              <w:left w:val="none" w:sz="0" w:space="0" w:color="auto"/>
            </w:tcBorders>
            <w:tcMar>
              <w:left w:w="108" w:type="dxa"/>
              <w:right w:w="108" w:type="dxa"/>
            </w:tcMar>
          </w:tcPr>
          <w:p w14:paraId="71A4232D" w14:textId="4FA60525" w:rsidR="00DF7622" w:rsidRPr="00512FFC" w:rsidRDefault="00DF7622" w:rsidP="00DF7622">
            <w:pPr>
              <w:ind w:left="22"/>
              <w:jc w:val="center"/>
              <w:rPr>
                <w:rFonts w:eastAsia="Calibri" w:cstheme="minorHAnsi"/>
              </w:rPr>
            </w:pPr>
            <w:r>
              <w:rPr>
                <w:rFonts w:cstheme="minorHAnsi"/>
              </w:rPr>
              <w:t>Senior Management</w:t>
            </w:r>
          </w:p>
        </w:tc>
        <w:tc>
          <w:tcPr>
            <w:tcW w:w="1627" w:type="dxa"/>
            <w:tcMar>
              <w:left w:w="108" w:type="dxa"/>
              <w:right w:w="108" w:type="dxa"/>
            </w:tcMar>
            <w:vAlign w:val="center"/>
          </w:tcPr>
          <w:p w14:paraId="4ED0494E" w14:textId="0011ADE1" w:rsidR="00DF7622" w:rsidRPr="00512FFC" w:rsidRDefault="00DF7622" w:rsidP="00DF7622">
            <w:pPr>
              <w:ind w:left="-104"/>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Pr>
                <w:rFonts w:cstheme="minorHAnsi"/>
              </w:rPr>
              <w:t>9</w:t>
            </w:r>
          </w:p>
        </w:tc>
        <w:tc>
          <w:tcPr>
            <w:tcW w:w="1943" w:type="dxa"/>
            <w:tcMar>
              <w:left w:w="108" w:type="dxa"/>
              <w:right w:w="108" w:type="dxa"/>
            </w:tcMar>
            <w:vAlign w:val="center"/>
          </w:tcPr>
          <w:p w14:paraId="38859621" w14:textId="38B5E2E9" w:rsidR="00DF7622" w:rsidRPr="00512FFC" w:rsidRDefault="00DF7622" w:rsidP="00DF7622">
            <w:pPr>
              <w:ind w:left="-180"/>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Pr>
                <w:rFonts w:cstheme="minorHAnsi"/>
              </w:rPr>
              <w:t>£2.3</w:t>
            </w:r>
            <w:r w:rsidR="00DD1DE0">
              <w:rPr>
                <w:rFonts w:cstheme="minorHAnsi"/>
              </w:rPr>
              <w:t>6</w:t>
            </w:r>
            <w:r>
              <w:rPr>
                <w:rFonts w:cstheme="minorHAnsi"/>
              </w:rPr>
              <w:t>m</w:t>
            </w:r>
          </w:p>
        </w:tc>
        <w:tc>
          <w:tcPr>
            <w:tcW w:w="1943" w:type="dxa"/>
            <w:tcMar>
              <w:left w:w="108" w:type="dxa"/>
              <w:right w:w="108" w:type="dxa"/>
            </w:tcMar>
            <w:vAlign w:val="center"/>
          </w:tcPr>
          <w:p w14:paraId="2888EBC6" w14:textId="3FE6083F" w:rsidR="00DF7622" w:rsidRPr="00512FFC" w:rsidRDefault="00DF7622" w:rsidP="00DF7622">
            <w:pPr>
              <w:ind w:left="-131"/>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Pr>
                <w:rFonts w:cstheme="minorHAnsi"/>
              </w:rPr>
              <w:t>£</w:t>
            </w:r>
            <w:r w:rsidR="006F36F5">
              <w:rPr>
                <w:rFonts w:cstheme="minorHAnsi"/>
              </w:rPr>
              <w:t>8.77m</w:t>
            </w:r>
          </w:p>
        </w:tc>
        <w:tc>
          <w:tcPr>
            <w:tcW w:w="1943" w:type="dxa"/>
            <w:tcMar>
              <w:left w:w="108" w:type="dxa"/>
              <w:right w:w="108" w:type="dxa"/>
            </w:tcMar>
            <w:vAlign w:val="center"/>
          </w:tcPr>
          <w:p w14:paraId="59B31859" w14:textId="15A3E113" w:rsidR="00DF7622" w:rsidRPr="00512FFC" w:rsidRDefault="00DF7622" w:rsidP="00DF7622">
            <w:pPr>
              <w:ind w:left="-96"/>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Pr>
                <w:rFonts w:cstheme="minorHAnsi"/>
              </w:rPr>
              <w:t>£11.</w:t>
            </w:r>
            <w:r w:rsidR="006F36F5">
              <w:rPr>
                <w:rFonts w:cstheme="minorHAnsi"/>
              </w:rPr>
              <w:t>1</w:t>
            </w:r>
            <w:r w:rsidR="00DD1DE0">
              <w:rPr>
                <w:rFonts w:cstheme="minorHAnsi"/>
              </w:rPr>
              <w:t>3</w:t>
            </w:r>
            <w:r w:rsidR="006F36F5">
              <w:rPr>
                <w:rFonts w:cstheme="minorHAnsi"/>
              </w:rPr>
              <w:t>m</w:t>
            </w:r>
          </w:p>
        </w:tc>
      </w:tr>
      <w:tr w:rsidR="00DF7622" w:rsidRPr="00512FFC" w14:paraId="7021E25E" w14:textId="77777777" w:rsidTr="00DF76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0" w:type="dxa"/>
            <w:tcBorders>
              <w:left w:val="none" w:sz="0" w:space="0" w:color="auto"/>
            </w:tcBorders>
            <w:tcMar>
              <w:left w:w="108" w:type="dxa"/>
              <w:right w:w="108" w:type="dxa"/>
            </w:tcMar>
          </w:tcPr>
          <w:p w14:paraId="41C9F332" w14:textId="26CA591E" w:rsidR="00DF7622" w:rsidRPr="00512FFC" w:rsidRDefault="00DF7622" w:rsidP="00DF7622">
            <w:pPr>
              <w:ind w:left="22"/>
              <w:jc w:val="center"/>
              <w:rPr>
                <w:rFonts w:eastAsia="Calibri" w:cstheme="minorHAnsi"/>
              </w:rPr>
            </w:pPr>
            <w:r>
              <w:rPr>
                <w:rFonts w:cstheme="minorHAnsi"/>
              </w:rPr>
              <w:t>Other MRTs</w:t>
            </w:r>
          </w:p>
        </w:tc>
        <w:tc>
          <w:tcPr>
            <w:tcW w:w="1627" w:type="dxa"/>
            <w:tcMar>
              <w:left w:w="108" w:type="dxa"/>
              <w:right w:w="108" w:type="dxa"/>
            </w:tcMar>
            <w:vAlign w:val="bottom"/>
          </w:tcPr>
          <w:p w14:paraId="1B01C65E" w14:textId="40D37796" w:rsidR="00DF7622" w:rsidRPr="00512FFC" w:rsidRDefault="00DF7622" w:rsidP="00DF7622">
            <w:pPr>
              <w:ind w:left="-104"/>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Pr>
                <w:rFonts w:cstheme="minorHAnsi"/>
              </w:rPr>
              <w:t>4</w:t>
            </w:r>
          </w:p>
        </w:tc>
        <w:tc>
          <w:tcPr>
            <w:tcW w:w="1943" w:type="dxa"/>
            <w:tcMar>
              <w:left w:w="108" w:type="dxa"/>
              <w:right w:w="108" w:type="dxa"/>
            </w:tcMar>
            <w:vAlign w:val="bottom"/>
          </w:tcPr>
          <w:p w14:paraId="37B784D9" w14:textId="0C14F5B2" w:rsidR="00DF7622" w:rsidRPr="00512FFC" w:rsidRDefault="00DF7622" w:rsidP="00DF7622">
            <w:pPr>
              <w:ind w:left="-180"/>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Pr>
                <w:rFonts w:cstheme="minorHAnsi"/>
              </w:rPr>
              <w:t>£0.7</w:t>
            </w:r>
            <w:r w:rsidR="006F36F5">
              <w:rPr>
                <w:rFonts w:cstheme="minorHAnsi"/>
              </w:rPr>
              <w:t>4</w:t>
            </w:r>
            <w:r>
              <w:rPr>
                <w:rFonts w:cstheme="minorHAnsi"/>
              </w:rPr>
              <w:t>m</w:t>
            </w:r>
          </w:p>
        </w:tc>
        <w:tc>
          <w:tcPr>
            <w:tcW w:w="1943" w:type="dxa"/>
            <w:tcMar>
              <w:left w:w="108" w:type="dxa"/>
              <w:right w:w="108" w:type="dxa"/>
            </w:tcMar>
            <w:vAlign w:val="bottom"/>
          </w:tcPr>
          <w:p w14:paraId="4936FAFD" w14:textId="64E47D72" w:rsidR="00DF7622" w:rsidRPr="00512FFC" w:rsidRDefault="00DF7622" w:rsidP="00DF7622">
            <w:pPr>
              <w:ind w:left="-131"/>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Pr>
                <w:rFonts w:cstheme="minorHAnsi"/>
              </w:rPr>
              <w:t>£</w:t>
            </w:r>
            <w:r w:rsidR="006F36F5">
              <w:rPr>
                <w:rFonts w:cstheme="minorHAnsi"/>
              </w:rPr>
              <w:t>0.73</w:t>
            </w:r>
          </w:p>
        </w:tc>
        <w:tc>
          <w:tcPr>
            <w:tcW w:w="1943" w:type="dxa"/>
            <w:tcMar>
              <w:left w:w="108" w:type="dxa"/>
              <w:right w:w="108" w:type="dxa"/>
            </w:tcMar>
            <w:vAlign w:val="bottom"/>
          </w:tcPr>
          <w:p w14:paraId="7E68F73E" w14:textId="7FA0C9E6" w:rsidR="00DF7622" w:rsidRPr="00512FFC" w:rsidRDefault="00DF7622" w:rsidP="00DF7622">
            <w:pPr>
              <w:ind w:left="-96"/>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Pr>
                <w:rFonts w:cstheme="minorHAnsi"/>
              </w:rPr>
              <w:t>£</w:t>
            </w:r>
            <w:r w:rsidR="006F36F5">
              <w:rPr>
                <w:rFonts w:cstheme="minorHAnsi"/>
              </w:rPr>
              <w:t>1.47m</w:t>
            </w:r>
          </w:p>
        </w:tc>
      </w:tr>
      <w:tr w:rsidR="00DF7622" w:rsidRPr="00512FFC" w14:paraId="2659227B" w14:textId="77777777" w:rsidTr="00DF7622">
        <w:trPr>
          <w:trHeight w:val="300"/>
          <w:jc w:val="center"/>
        </w:trPr>
        <w:tc>
          <w:tcPr>
            <w:cnfStyle w:val="001000000000" w:firstRow="0" w:lastRow="0" w:firstColumn="1" w:lastColumn="0" w:oddVBand="0" w:evenVBand="0" w:oddHBand="0" w:evenHBand="0" w:firstRowFirstColumn="0" w:firstRowLastColumn="0" w:lastRowFirstColumn="0" w:lastRowLastColumn="0"/>
            <w:tcW w:w="1550" w:type="dxa"/>
            <w:tcBorders>
              <w:left w:val="none" w:sz="0" w:space="0" w:color="auto"/>
            </w:tcBorders>
            <w:tcMar>
              <w:left w:w="108" w:type="dxa"/>
              <w:right w:w="108" w:type="dxa"/>
            </w:tcMar>
          </w:tcPr>
          <w:p w14:paraId="7501DD19" w14:textId="6C1ED597" w:rsidR="00DF7622" w:rsidRPr="00512FFC" w:rsidRDefault="00DF7622" w:rsidP="00DF7622">
            <w:pPr>
              <w:ind w:left="22"/>
              <w:jc w:val="center"/>
              <w:rPr>
                <w:rFonts w:eastAsia="Calibri" w:cstheme="minorHAnsi"/>
              </w:rPr>
            </w:pPr>
            <w:r>
              <w:rPr>
                <w:rFonts w:cstheme="minorHAnsi"/>
              </w:rPr>
              <w:t>Other Staff</w:t>
            </w:r>
          </w:p>
        </w:tc>
        <w:tc>
          <w:tcPr>
            <w:tcW w:w="1627" w:type="dxa"/>
            <w:tcMar>
              <w:left w:w="108" w:type="dxa"/>
              <w:right w:w="108" w:type="dxa"/>
            </w:tcMar>
            <w:vAlign w:val="bottom"/>
          </w:tcPr>
          <w:p w14:paraId="01B66F96" w14:textId="4BC74562" w:rsidR="00DF7622" w:rsidRPr="00512FFC" w:rsidRDefault="00DD1DE0" w:rsidP="00DF7622">
            <w:pPr>
              <w:ind w:left="-104"/>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Pr>
                <w:rFonts w:cstheme="minorHAnsi"/>
              </w:rPr>
              <w:t>124</w:t>
            </w:r>
          </w:p>
        </w:tc>
        <w:tc>
          <w:tcPr>
            <w:tcW w:w="1943" w:type="dxa"/>
            <w:tcMar>
              <w:left w:w="108" w:type="dxa"/>
              <w:right w:w="108" w:type="dxa"/>
            </w:tcMar>
            <w:vAlign w:val="bottom"/>
          </w:tcPr>
          <w:p w14:paraId="1D8B77F6" w14:textId="10396818" w:rsidR="00DF7622" w:rsidRPr="00512FFC" w:rsidRDefault="00DF7622" w:rsidP="00DF7622">
            <w:pPr>
              <w:ind w:left="-180"/>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Pr>
                <w:rFonts w:cstheme="minorHAnsi"/>
              </w:rPr>
              <w:t>£14.</w:t>
            </w:r>
            <w:r w:rsidR="00DD1DE0">
              <w:rPr>
                <w:rFonts w:cstheme="minorHAnsi"/>
              </w:rPr>
              <w:t>65</w:t>
            </w:r>
            <w:r>
              <w:rPr>
                <w:rFonts w:cstheme="minorHAnsi"/>
              </w:rPr>
              <w:t>m</w:t>
            </w:r>
          </w:p>
        </w:tc>
        <w:tc>
          <w:tcPr>
            <w:tcW w:w="1943" w:type="dxa"/>
            <w:tcMar>
              <w:left w:w="108" w:type="dxa"/>
              <w:right w:w="108" w:type="dxa"/>
            </w:tcMar>
            <w:vAlign w:val="bottom"/>
          </w:tcPr>
          <w:p w14:paraId="6E658303" w14:textId="4B573057" w:rsidR="00DF7622" w:rsidRPr="00512FFC" w:rsidRDefault="00DF7622" w:rsidP="00DF7622">
            <w:pPr>
              <w:ind w:left="-131"/>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Pr>
                <w:rFonts w:cstheme="minorHAnsi"/>
              </w:rPr>
              <w:t>£</w:t>
            </w:r>
            <w:r w:rsidR="00DD1DE0">
              <w:rPr>
                <w:rFonts w:cstheme="minorHAnsi"/>
              </w:rPr>
              <w:t>32.60m</w:t>
            </w:r>
          </w:p>
        </w:tc>
        <w:tc>
          <w:tcPr>
            <w:tcW w:w="1943" w:type="dxa"/>
            <w:tcMar>
              <w:left w:w="108" w:type="dxa"/>
              <w:right w:w="108" w:type="dxa"/>
            </w:tcMar>
            <w:vAlign w:val="bottom"/>
          </w:tcPr>
          <w:p w14:paraId="3CACB1C5" w14:textId="550F8A13" w:rsidR="00DF7622" w:rsidRPr="00512FFC" w:rsidRDefault="00DF7622" w:rsidP="00DF7622">
            <w:pPr>
              <w:ind w:left="-96"/>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Pr>
                <w:rFonts w:cstheme="minorHAnsi"/>
              </w:rPr>
              <w:t>£</w:t>
            </w:r>
            <w:r w:rsidR="00DD1DE0">
              <w:rPr>
                <w:rFonts w:cstheme="minorHAnsi"/>
              </w:rPr>
              <w:t>47.25m</w:t>
            </w:r>
          </w:p>
        </w:tc>
      </w:tr>
      <w:tr w:rsidR="00DF7622" w:rsidRPr="00512FFC" w14:paraId="5F464C12" w14:textId="77777777" w:rsidTr="00DF76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0" w:type="dxa"/>
            <w:tcBorders>
              <w:left w:val="none" w:sz="0" w:space="0" w:color="auto"/>
              <w:bottom w:val="none" w:sz="0" w:space="0" w:color="auto"/>
            </w:tcBorders>
            <w:tcMar>
              <w:left w:w="108" w:type="dxa"/>
              <w:right w:w="108" w:type="dxa"/>
            </w:tcMar>
          </w:tcPr>
          <w:p w14:paraId="457ED6A9" w14:textId="3490EBD3" w:rsidR="00DF7622" w:rsidRPr="00512FFC" w:rsidRDefault="00DF7622" w:rsidP="00DF7622">
            <w:pPr>
              <w:ind w:left="22"/>
              <w:jc w:val="center"/>
              <w:rPr>
                <w:rFonts w:eastAsia="Calibri" w:cstheme="minorHAnsi"/>
              </w:rPr>
            </w:pPr>
            <w:r>
              <w:rPr>
                <w:rFonts w:cstheme="minorHAnsi"/>
              </w:rPr>
              <w:t>Total</w:t>
            </w:r>
          </w:p>
        </w:tc>
        <w:tc>
          <w:tcPr>
            <w:tcW w:w="1627" w:type="dxa"/>
            <w:tcMar>
              <w:left w:w="108" w:type="dxa"/>
              <w:right w:w="108" w:type="dxa"/>
            </w:tcMar>
            <w:vAlign w:val="bottom"/>
          </w:tcPr>
          <w:p w14:paraId="202B41FE" w14:textId="4BBEE867" w:rsidR="00DF7622" w:rsidRPr="00512FFC" w:rsidRDefault="00DD1DE0" w:rsidP="00DF7622">
            <w:pPr>
              <w:ind w:left="-104"/>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Pr>
                <w:rFonts w:cstheme="minorHAnsi"/>
              </w:rPr>
              <w:t>137</w:t>
            </w:r>
          </w:p>
        </w:tc>
        <w:tc>
          <w:tcPr>
            <w:tcW w:w="1943" w:type="dxa"/>
            <w:tcMar>
              <w:left w:w="108" w:type="dxa"/>
              <w:right w:w="108" w:type="dxa"/>
            </w:tcMar>
            <w:vAlign w:val="bottom"/>
          </w:tcPr>
          <w:p w14:paraId="265F70EF" w14:textId="0FA171EF" w:rsidR="00DF7622" w:rsidRPr="00512FFC" w:rsidRDefault="00DF7622" w:rsidP="00DF7622">
            <w:pPr>
              <w:ind w:left="-180"/>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Pr>
                <w:rFonts w:cstheme="minorHAnsi"/>
              </w:rPr>
              <w:t>£17.</w:t>
            </w:r>
            <w:r w:rsidR="00DD1DE0">
              <w:rPr>
                <w:rFonts w:cstheme="minorHAnsi"/>
              </w:rPr>
              <w:t>75m</w:t>
            </w:r>
          </w:p>
        </w:tc>
        <w:tc>
          <w:tcPr>
            <w:tcW w:w="1943" w:type="dxa"/>
            <w:tcMar>
              <w:left w:w="108" w:type="dxa"/>
              <w:right w:w="108" w:type="dxa"/>
            </w:tcMar>
            <w:vAlign w:val="bottom"/>
          </w:tcPr>
          <w:p w14:paraId="38BBC10B" w14:textId="3D72537D" w:rsidR="00DF7622" w:rsidRPr="00512FFC" w:rsidRDefault="00DF7622" w:rsidP="00DF7622">
            <w:pPr>
              <w:ind w:left="-131"/>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Pr>
                <w:rFonts w:cstheme="minorHAnsi"/>
              </w:rPr>
              <w:t>£</w:t>
            </w:r>
            <w:r w:rsidR="00DD1DE0">
              <w:rPr>
                <w:rFonts w:cstheme="minorHAnsi"/>
              </w:rPr>
              <w:t>42.10m</w:t>
            </w:r>
          </w:p>
        </w:tc>
        <w:tc>
          <w:tcPr>
            <w:tcW w:w="1943" w:type="dxa"/>
            <w:tcMar>
              <w:left w:w="108" w:type="dxa"/>
              <w:right w:w="108" w:type="dxa"/>
            </w:tcMar>
            <w:vAlign w:val="bottom"/>
          </w:tcPr>
          <w:p w14:paraId="5372339B" w14:textId="071A61C9" w:rsidR="00DF7622" w:rsidRPr="00512FFC" w:rsidRDefault="00DF7622" w:rsidP="00DF7622">
            <w:pPr>
              <w:ind w:left="-96"/>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Pr>
                <w:rFonts w:cstheme="minorHAnsi"/>
              </w:rPr>
              <w:t>£</w:t>
            </w:r>
            <w:r w:rsidR="00DD1DE0">
              <w:rPr>
                <w:rFonts w:cstheme="minorHAnsi"/>
              </w:rPr>
              <w:t>59.85m</w:t>
            </w:r>
          </w:p>
        </w:tc>
      </w:tr>
    </w:tbl>
    <w:p w14:paraId="5AD4EDC9" w14:textId="703578C7" w:rsidR="006F4C2C" w:rsidRPr="002451CE" w:rsidRDefault="56BAD144" w:rsidP="00DD593A">
      <w:pPr>
        <w:ind w:left="0"/>
        <w:rPr>
          <w:rFonts w:eastAsia="Calibri" w:cstheme="minorHAnsi"/>
          <w:i/>
          <w:iCs/>
        </w:rPr>
      </w:pPr>
      <w:r w:rsidRPr="002451CE">
        <w:rPr>
          <w:rFonts w:eastAsia="Calibri" w:cstheme="minorHAnsi"/>
          <w:i/>
          <w:iCs/>
        </w:rPr>
        <w:t xml:space="preserve"> </w:t>
      </w:r>
    </w:p>
    <w:p w14:paraId="53F0DC37" w14:textId="74470B4D" w:rsidR="00CF6A7F" w:rsidRPr="00481841" w:rsidRDefault="56BAD144" w:rsidP="00481841">
      <w:pPr>
        <w:spacing w:before="120" w:after="120"/>
        <w:ind w:left="0"/>
        <w:rPr>
          <w:rFonts w:cstheme="minorHAnsi"/>
          <w:lang w:val="en-US"/>
        </w:rPr>
      </w:pPr>
      <w:r w:rsidRPr="00481841">
        <w:rPr>
          <w:rFonts w:cstheme="minorHAnsi"/>
          <w:lang w:val="en-US"/>
        </w:rPr>
        <w:t xml:space="preserve">The table below provides details of the guaranteed variable remuneration and severance payments awarded </w:t>
      </w:r>
      <w:r w:rsidR="7D970C00" w:rsidRPr="00481841">
        <w:rPr>
          <w:rFonts w:cstheme="minorHAnsi"/>
          <w:lang w:val="en-US"/>
        </w:rPr>
        <w:t xml:space="preserve">to </w:t>
      </w:r>
      <w:r w:rsidRPr="00481841">
        <w:rPr>
          <w:rFonts w:cstheme="minorHAnsi"/>
          <w:lang w:val="en-US"/>
        </w:rPr>
        <w:t xml:space="preserve">the </w:t>
      </w:r>
      <w:r w:rsidR="009C51FE" w:rsidRPr="00481841">
        <w:rPr>
          <w:rFonts w:cstheme="minorHAnsi"/>
          <w:lang w:val="en-US"/>
        </w:rPr>
        <w:t>Group</w:t>
      </w:r>
      <w:r w:rsidRPr="00481841">
        <w:rPr>
          <w:rFonts w:cstheme="minorHAnsi"/>
          <w:lang w:val="en-US"/>
        </w:rPr>
        <w:t xml:space="preserve">’s </w:t>
      </w:r>
      <w:r w:rsidR="00DC3879" w:rsidRPr="00481841">
        <w:rPr>
          <w:rFonts w:cstheme="minorHAnsi"/>
          <w:lang w:val="en-US"/>
        </w:rPr>
        <w:t>MRTs</w:t>
      </w:r>
      <w:r w:rsidRPr="00481841">
        <w:rPr>
          <w:rFonts w:cstheme="minorHAnsi"/>
          <w:lang w:val="en-US"/>
        </w:rPr>
        <w:t xml:space="preserve"> for the year ending 31 December 202</w:t>
      </w:r>
      <w:r w:rsidR="006F36F5">
        <w:rPr>
          <w:rFonts w:cstheme="minorHAnsi"/>
          <w:lang w:val="en-US"/>
        </w:rPr>
        <w:t>3</w:t>
      </w:r>
      <w:r w:rsidRPr="00481841">
        <w:rPr>
          <w:rFonts w:cstheme="minorHAnsi"/>
          <w:lang w:val="en-US"/>
        </w:rPr>
        <w:t>.</w:t>
      </w:r>
    </w:p>
    <w:p w14:paraId="64CBC148" w14:textId="1A5EEA17" w:rsidR="00A368D6" w:rsidRPr="00F24B0B" w:rsidRDefault="00A368D6" w:rsidP="00DD593A">
      <w:pPr>
        <w:ind w:left="0"/>
        <w:rPr>
          <w:rFonts w:eastAsia="Times New Roman"/>
          <w:b/>
          <w:bCs/>
          <w:i/>
          <w:iCs/>
          <w:lang w:eastAsia="el-GR"/>
        </w:rPr>
      </w:pPr>
      <w:r w:rsidRPr="00EF4324">
        <w:rPr>
          <w:rFonts w:eastAsia="Times New Roman"/>
          <w:b/>
          <w:bCs/>
          <w:i/>
          <w:iCs/>
          <w:lang w:eastAsia="el-GR"/>
        </w:rPr>
        <w:t xml:space="preserve">Table 9: Remuneration </w:t>
      </w:r>
      <w:r w:rsidR="00535759" w:rsidRPr="00EF4324">
        <w:rPr>
          <w:rFonts w:eastAsia="Times New Roman"/>
          <w:b/>
          <w:bCs/>
          <w:i/>
          <w:iCs/>
          <w:lang w:eastAsia="el-GR"/>
        </w:rPr>
        <w:t xml:space="preserve">and severance </w:t>
      </w:r>
      <w:r w:rsidRPr="00EF4324">
        <w:rPr>
          <w:rFonts w:eastAsia="Times New Roman"/>
          <w:b/>
          <w:bCs/>
          <w:i/>
          <w:iCs/>
          <w:lang w:eastAsia="el-GR"/>
        </w:rPr>
        <w:t xml:space="preserve">split of staff within the </w:t>
      </w:r>
      <w:proofErr w:type="gramStart"/>
      <w:r w:rsidR="009C51FE" w:rsidRPr="00EF4324">
        <w:rPr>
          <w:rFonts w:eastAsia="Times New Roman"/>
          <w:b/>
          <w:bCs/>
          <w:i/>
          <w:iCs/>
          <w:lang w:eastAsia="el-GR"/>
        </w:rPr>
        <w:t>Group</w:t>
      </w:r>
      <w:proofErr w:type="gramEnd"/>
      <w:r w:rsidRPr="00F24B0B">
        <w:rPr>
          <w:rFonts w:eastAsia="Times New Roman"/>
          <w:b/>
          <w:bCs/>
          <w:i/>
          <w:iCs/>
          <w:lang w:eastAsia="el-GR"/>
        </w:rPr>
        <w:t xml:space="preserve"> </w:t>
      </w:r>
    </w:p>
    <w:tbl>
      <w:tblPr>
        <w:tblStyle w:val="GridTable5Dark-Accent1"/>
        <w:tblW w:w="8931" w:type="dxa"/>
        <w:tblInd w:w="-10" w:type="dxa"/>
        <w:tblLayout w:type="fixed"/>
        <w:tblCellMar>
          <w:left w:w="57" w:type="dxa"/>
          <w:right w:w="57" w:type="dxa"/>
        </w:tblCellMar>
        <w:tblLook w:val="04A0" w:firstRow="1" w:lastRow="0" w:firstColumn="1" w:lastColumn="0" w:noHBand="0" w:noVBand="1"/>
      </w:tblPr>
      <w:tblGrid>
        <w:gridCol w:w="2213"/>
        <w:gridCol w:w="1763"/>
        <w:gridCol w:w="1836"/>
        <w:gridCol w:w="1588"/>
        <w:gridCol w:w="1531"/>
      </w:tblGrid>
      <w:tr w:rsidR="003064B0" w14:paraId="364956ED" w14:textId="77777777" w:rsidTr="00DD593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31"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vAlign w:val="center"/>
          </w:tcPr>
          <w:p w14:paraId="1E410E99" w14:textId="64898F8B" w:rsidR="24030BDA" w:rsidRDefault="24030BDA" w:rsidP="00DD593A">
            <w:pPr>
              <w:jc w:val="center"/>
              <w:rPr>
                <w:rFonts w:ascii="Calibri" w:eastAsia="Calibri" w:hAnsi="Calibri" w:cs="Calibri"/>
              </w:rPr>
            </w:pPr>
            <w:r w:rsidRPr="24030BDA">
              <w:rPr>
                <w:rFonts w:ascii="Calibri" w:eastAsia="Calibri" w:hAnsi="Calibri" w:cs="Calibri"/>
              </w:rPr>
              <w:t xml:space="preserve">Guaranteed Variable Remuneration and Severance Payments as </w:t>
            </w:r>
            <w:proofErr w:type="gramStart"/>
            <w:r w:rsidRPr="24030BDA">
              <w:rPr>
                <w:rFonts w:ascii="Calibri" w:eastAsia="Calibri" w:hAnsi="Calibri" w:cs="Calibri"/>
              </w:rPr>
              <w:t>at</w:t>
            </w:r>
            <w:proofErr w:type="gramEnd"/>
            <w:r w:rsidRPr="24030BDA">
              <w:rPr>
                <w:rFonts w:ascii="Calibri" w:eastAsia="Calibri" w:hAnsi="Calibri" w:cs="Calibri"/>
              </w:rPr>
              <w:t xml:space="preserve"> 31</w:t>
            </w:r>
            <w:r w:rsidRPr="24030BDA">
              <w:rPr>
                <w:rFonts w:ascii="Calibri" w:eastAsia="Calibri" w:hAnsi="Calibri" w:cs="Calibri"/>
                <w:vertAlign w:val="superscript"/>
              </w:rPr>
              <w:t>st</w:t>
            </w:r>
            <w:r w:rsidRPr="24030BDA">
              <w:rPr>
                <w:rFonts w:ascii="Calibri" w:eastAsia="Calibri" w:hAnsi="Calibri" w:cs="Calibri"/>
              </w:rPr>
              <w:t xml:space="preserve"> December </w:t>
            </w:r>
            <w:r w:rsidR="006F36F5" w:rsidRPr="24030BDA">
              <w:rPr>
                <w:rFonts w:ascii="Calibri" w:eastAsia="Calibri" w:hAnsi="Calibri" w:cs="Calibri"/>
              </w:rPr>
              <w:t>202</w:t>
            </w:r>
            <w:r w:rsidR="006F36F5">
              <w:rPr>
                <w:rFonts w:ascii="Calibri" w:eastAsia="Calibri" w:hAnsi="Calibri" w:cs="Calibri"/>
              </w:rPr>
              <w:t>3</w:t>
            </w:r>
          </w:p>
        </w:tc>
      </w:tr>
      <w:tr w:rsidR="00EF4324" w14:paraId="27108FCA" w14:textId="77777777" w:rsidTr="00EA29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3" w:type="dxa"/>
            <w:tcBorders>
              <w:left w:val="none" w:sz="0" w:space="0" w:color="auto"/>
            </w:tcBorders>
            <w:tcMar>
              <w:left w:w="108" w:type="dxa"/>
              <w:right w:w="108" w:type="dxa"/>
            </w:tcMar>
          </w:tcPr>
          <w:p w14:paraId="5FA20479" w14:textId="10430F93" w:rsidR="00EF4324" w:rsidRDefault="00EF4324" w:rsidP="00EF4324">
            <w:pPr>
              <w:ind w:left="-111"/>
              <w:jc w:val="center"/>
              <w:rPr>
                <w:rFonts w:ascii="Calibri" w:eastAsia="Calibri" w:hAnsi="Calibri" w:cs="Calibri"/>
              </w:rPr>
            </w:pPr>
            <w:r>
              <w:rPr>
                <w:rFonts w:cstheme="minorHAnsi"/>
              </w:rPr>
              <w:t>Position</w:t>
            </w:r>
          </w:p>
        </w:tc>
        <w:tc>
          <w:tcPr>
            <w:tcW w:w="1763" w:type="dxa"/>
            <w:shd w:val="clear" w:color="auto" w:fill="4472C4" w:themeFill="accent1"/>
            <w:tcMar>
              <w:left w:w="108" w:type="dxa"/>
              <w:right w:w="108" w:type="dxa"/>
            </w:tcMar>
          </w:tcPr>
          <w:p w14:paraId="7AC64D5D" w14:textId="15476C3E" w:rsidR="00EF4324" w:rsidRDefault="00EF4324" w:rsidP="00EF4324">
            <w:pPr>
              <w:ind w:left="-197"/>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rPr>
            </w:pPr>
            <w:r w:rsidRPr="007D00B9">
              <w:rPr>
                <w:rFonts w:cstheme="minorHAnsi"/>
                <w:b/>
                <w:bCs/>
                <w:color w:val="FFFFFF" w:themeColor="background1"/>
              </w:rPr>
              <w:t>No. of Beneficiaries</w:t>
            </w:r>
          </w:p>
        </w:tc>
        <w:tc>
          <w:tcPr>
            <w:tcW w:w="1836" w:type="dxa"/>
            <w:shd w:val="clear" w:color="auto" w:fill="4472C4" w:themeFill="accent1"/>
            <w:tcMar>
              <w:left w:w="108" w:type="dxa"/>
              <w:right w:w="108" w:type="dxa"/>
            </w:tcMar>
          </w:tcPr>
          <w:p w14:paraId="4F52D2C7" w14:textId="3A73D954" w:rsidR="00EF4324" w:rsidRDefault="00EF4324" w:rsidP="00EF4324">
            <w:pPr>
              <w:ind w:left="-11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rPr>
            </w:pPr>
            <w:r>
              <w:rPr>
                <w:rFonts w:cstheme="minorHAnsi"/>
                <w:b/>
                <w:bCs/>
                <w:color w:val="FFFFFF" w:themeColor="background1"/>
              </w:rPr>
              <w:t>Guaranteed Variable R</w:t>
            </w:r>
            <w:r w:rsidRPr="007D00B9">
              <w:rPr>
                <w:rFonts w:cstheme="minorHAnsi"/>
                <w:b/>
                <w:bCs/>
                <w:color w:val="FFFFFF" w:themeColor="background1"/>
              </w:rPr>
              <w:t>emuneration</w:t>
            </w:r>
          </w:p>
        </w:tc>
        <w:tc>
          <w:tcPr>
            <w:tcW w:w="1588" w:type="dxa"/>
            <w:shd w:val="clear" w:color="auto" w:fill="4472C4" w:themeFill="accent1"/>
            <w:tcMar>
              <w:left w:w="108" w:type="dxa"/>
              <w:right w:w="108" w:type="dxa"/>
            </w:tcMar>
          </w:tcPr>
          <w:p w14:paraId="01D2544E" w14:textId="09AD2D91" w:rsidR="00EF4324" w:rsidRDefault="00EF4324" w:rsidP="00EF4324">
            <w:pPr>
              <w:ind w:left="-35"/>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rPr>
            </w:pPr>
            <w:r w:rsidRPr="007D00B9">
              <w:rPr>
                <w:rFonts w:cstheme="minorHAnsi"/>
                <w:b/>
                <w:bCs/>
                <w:color w:val="FFFFFF" w:themeColor="background1"/>
              </w:rPr>
              <w:t>No. of Beneficiaries</w:t>
            </w:r>
          </w:p>
        </w:tc>
        <w:tc>
          <w:tcPr>
            <w:tcW w:w="1531" w:type="dxa"/>
            <w:shd w:val="clear" w:color="auto" w:fill="4472C4" w:themeFill="accent1"/>
            <w:tcMar>
              <w:left w:w="108" w:type="dxa"/>
              <w:right w:w="108" w:type="dxa"/>
            </w:tcMar>
          </w:tcPr>
          <w:p w14:paraId="1C511020" w14:textId="19872FEE" w:rsidR="00EF4324" w:rsidRDefault="00EF4324" w:rsidP="00EF4324">
            <w:pPr>
              <w:ind w:left="-143"/>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rPr>
            </w:pPr>
            <w:r>
              <w:rPr>
                <w:rFonts w:cstheme="minorHAnsi"/>
                <w:b/>
                <w:bCs/>
                <w:color w:val="FFFFFF" w:themeColor="background1"/>
              </w:rPr>
              <w:t>Severance Payments</w:t>
            </w:r>
          </w:p>
        </w:tc>
      </w:tr>
      <w:tr w:rsidR="00EF4324" w14:paraId="14C91A0B" w14:textId="77777777" w:rsidTr="00EA2984">
        <w:trPr>
          <w:trHeight w:val="510"/>
        </w:trPr>
        <w:tc>
          <w:tcPr>
            <w:cnfStyle w:val="001000000000" w:firstRow="0" w:lastRow="0" w:firstColumn="1" w:lastColumn="0" w:oddVBand="0" w:evenVBand="0" w:oddHBand="0" w:evenHBand="0" w:firstRowFirstColumn="0" w:firstRowLastColumn="0" w:lastRowFirstColumn="0" w:lastRowLastColumn="0"/>
            <w:tcW w:w="2213" w:type="dxa"/>
            <w:tcBorders>
              <w:left w:val="none" w:sz="0" w:space="0" w:color="auto"/>
            </w:tcBorders>
            <w:tcMar>
              <w:left w:w="108" w:type="dxa"/>
              <w:right w:w="108" w:type="dxa"/>
            </w:tcMar>
          </w:tcPr>
          <w:p w14:paraId="46B4F187" w14:textId="12DD7F12" w:rsidR="00EF4324" w:rsidRDefault="00EF4324" w:rsidP="00EF4324">
            <w:pPr>
              <w:ind w:left="0"/>
              <w:jc w:val="center"/>
              <w:rPr>
                <w:rFonts w:ascii="Calibri" w:eastAsia="Calibri" w:hAnsi="Calibri" w:cs="Calibri"/>
              </w:rPr>
            </w:pPr>
            <w:r>
              <w:rPr>
                <w:rFonts w:cstheme="minorHAnsi"/>
              </w:rPr>
              <w:t>Senior Management</w:t>
            </w:r>
          </w:p>
        </w:tc>
        <w:tc>
          <w:tcPr>
            <w:tcW w:w="1763" w:type="dxa"/>
            <w:tcMar>
              <w:left w:w="108" w:type="dxa"/>
              <w:right w:w="108" w:type="dxa"/>
            </w:tcMar>
          </w:tcPr>
          <w:p w14:paraId="08060C56" w14:textId="514FA64C" w:rsidR="00EF4324" w:rsidRDefault="00EF4324" w:rsidP="00EF4324">
            <w:pPr>
              <w:ind w:left="-56"/>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Pr>
                <w:rFonts w:cstheme="minorHAnsi"/>
              </w:rPr>
              <w:t>0</w:t>
            </w:r>
          </w:p>
        </w:tc>
        <w:tc>
          <w:tcPr>
            <w:tcW w:w="1836" w:type="dxa"/>
            <w:tcMar>
              <w:left w:w="108" w:type="dxa"/>
              <w:right w:w="108" w:type="dxa"/>
            </w:tcMar>
          </w:tcPr>
          <w:p w14:paraId="4EC312A1" w14:textId="0A0ED818" w:rsidR="00EF4324" w:rsidRDefault="00EF4324" w:rsidP="00EF4324">
            <w:pPr>
              <w:ind w:left="-11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Pr>
                <w:rFonts w:cstheme="minorHAnsi"/>
              </w:rPr>
              <w:t>£0</w:t>
            </w:r>
          </w:p>
        </w:tc>
        <w:tc>
          <w:tcPr>
            <w:tcW w:w="1588" w:type="dxa"/>
            <w:tcMar>
              <w:left w:w="108" w:type="dxa"/>
              <w:right w:w="108" w:type="dxa"/>
            </w:tcMar>
          </w:tcPr>
          <w:p w14:paraId="14024054" w14:textId="5C6D9A99" w:rsidR="00EF4324" w:rsidRDefault="00EF4324" w:rsidP="00EF4324">
            <w:pPr>
              <w:ind w:left="-112"/>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Pr>
                <w:rFonts w:cstheme="minorHAnsi"/>
              </w:rPr>
              <w:t>0</w:t>
            </w:r>
          </w:p>
        </w:tc>
        <w:tc>
          <w:tcPr>
            <w:tcW w:w="1531" w:type="dxa"/>
            <w:tcMar>
              <w:left w:w="108" w:type="dxa"/>
              <w:right w:w="108" w:type="dxa"/>
            </w:tcMar>
          </w:tcPr>
          <w:p w14:paraId="1B972462" w14:textId="28D0BCA2" w:rsidR="00EF4324" w:rsidRDefault="00EF4324" w:rsidP="00EF4324">
            <w:pPr>
              <w:ind w:left="-143"/>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Pr>
                <w:rFonts w:cstheme="minorHAnsi"/>
              </w:rPr>
              <w:t>£0</w:t>
            </w:r>
          </w:p>
        </w:tc>
      </w:tr>
      <w:tr w:rsidR="00EF4324" w14:paraId="423CB9E4" w14:textId="77777777" w:rsidTr="00EA2984">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13" w:type="dxa"/>
            <w:tcBorders>
              <w:left w:val="none" w:sz="0" w:space="0" w:color="auto"/>
              <w:bottom w:val="none" w:sz="0" w:space="0" w:color="auto"/>
            </w:tcBorders>
            <w:tcMar>
              <w:left w:w="108" w:type="dxa"/>
              <w:right w:w="108" w:type="dxa"/>
            </w:tcMar>
          </w:tcPr>
          <w:p w14:paraId="63CC1035" w14:textId="62A6AFE8" w:rsidR="00EF4324" w:rsidRDefault="00EF4324" w:rsidP="00EF4324">
            <w:pPr>
              <w:ind w:left="37" w:hanging="37"/>
              <w:jc w:val="center"/>
              <w:rPr>
                <w:rFonts w:ascii="Calibri" w:eastAsia="Calibri" w:hAnsi="Calibri" w:cs="Calibri"/>
              </w:rPr>
            </w:pPr>
            <w:r>
              <w:rPr>
                <w:rFonts w:cstheme="minorHAnsi"/>
              </w:rPr>
              <w:t>Other MRTs</w:t>
            </w:r>
          </w:p>
        </w:tc>
        <w:tc>
          <w:tcPr>
            <w:tcW w:w="1763" w:type="dxa"/>
            <w:tcMar>
              <w:left w:w="108" w:type="dxa"/>
              <w:right w:w="108" w:type="dxa"/>
            </w:tcMar>
          </w:tcPr>
          <w:p w14:paraId="774F6A30" w14:textId="2303B701" w:rsidR="00EF4324" w:rsidRDefault="00EF4324" w:rsidP="00EF4324">
            <w:pPr>
              <w:ind w:left="-56"/>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Pr>
                <w:rFonts w:cstheme="minorHAnsi"/>
              </w:rPr>
              <w:t>0</w:t>
            </w:r>
          </w:p>
        </w:tc>
        <w:tc>
          <w:tcPr>
            <w:tcW w:w="1836" w:type="dxa"/>
            <w:tcMar>
              <w:left w:w="108" w:type="dxa"/>
              <w:right w:w="108" w:type="dxa"/>
            </w:tcMar>
          </w:tcPr>
          <w:p w14:paraId="1669FA82" w14:textId="1D7DBD7C" w:rsidR="00EF4324" w:rsidRDefault="00EF4324" w:rsidP="00EF4324">
            <w:pPr>
              <w:ind w:left="-11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Pr>
                <w:rFonts w:cstheme="minorHAnsi"/>
              </w:rPr>
              <w:t>£0</w:t>
            </w:r>
          </w:p>
        </w:tc>
        <w:tc>
          <w:tcPr>
            <w:tcW w:w="1588" w:type="dxa"/>
            <w:tcMar>
              <w:left w:w="108" w:type="dxa"/>
              <w:right w:w="108" w:type="dxa"/>
            </w:tcMar>
          </w:tcPr>
          <w:p w14:paraId="13E5118A" w14:textId="1C0B555A" w:rsidR="00EF4324" w:rsidRDefault="00EF4324" w:rsidP="00EF4324">
            <w:pPr>
              <w:ind w:left="-112"/>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Pr>
                <w:rFonts w:cstheme="minorHAnsi"/>
              </w:rPr>
              <w:t>0</w:t>
            </w:r>
          </w:p>
        </w:tc>
        <w:tc>
          <w:tcPr>
            <w:tcW w:w="1531" w:type="dxa"/>
            <w:tcMar>
              <w:left w:w="108" w:type="dxa"/>
              <w:right w:w="108" w:type="dxa"/>
            </w:tcMar>
          </w:tcPr>
          <w:p w14:paraId="77B35D5B" w14:textId="24C51201" w:rsidR="00EF4324" w:rsidRDefault="00EF4324" w:rsidP="00EF4324">
            <w:pPr>
              <w:ind w:left="-143"/>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Pr>
                <w:rFonts w:cstheme="minorHAnsi"/>
              </w:rPr>
              <w:t>£0</w:t>
            </w:r>
          </w:p>
        </w:tc>
      </w:tr>
    </w:tbl>
    <w:p w14:paraId="3F64F133" w14:textId="2F4D535C" w:rsidR="00CF6A7F" w:rsidRDefault="56BAD144">
      <w:pPr>
        <w:rPr>
          <w:rFonts w:ascii="Calibri" w:eastAsia="Calibri" w:hAnsi="Calibri" w:cs="Calibri"/>
        </w:rPr>
      </w:pPr>
      <w:r w:rsidRPr="24030BDA">
        <w:rPr>
          <w:rFonts w:ascii="Calibri" w:eastAsia="Calibri" w:hAnsi="Calibri" w:cs="Calibri"/>
        </w:rPr>
        <w:t xml:space="preserve"> </w:t>
      </w:r>
    </w:p>
    <w:p w14:paraId="07A381AC" w14:textId="2F506845" w:rsidR="00BA0FFF" w:rsidRPr="00496FC6" w:rsidDel="00CF6A7F" w:rsidRDefault="00BA0FFF">
      <w:pPr>
        <w:pStyle w:val="Heading1"/>
        <w:numPr>
          <w:ilvl w:val="0"/>
          <w:numId w:val="18"/>
        </w:numPr>
        <w:spacing w:line="276" w:lineRule="auto"/>
        <w:rPr>
          <w:rFonts w:asciiTheme="minorHAnsi" w:hAnsiTheme="minorHAnsi" w:cstheme="minorBidi"/>
        </w:rPr>
      </w:pPr>
      <w:bookmarkStart w:id="85" w:name="_Toc139016591"/>
      <w:bookmarkStart w:id="86" w:name="_Toc136612892"/>
      <w:bookmarkStart w:id="87" w:name="_Toc136612937"/>
      <w:bookmarkStart w:id="88" w:name="_Toc808502162"/>
      <w:r w:rsidRPr="1C012DF9" w:rsidDel="00CF6A7F">
        <w:rPr>
          <w:rFonts w:asciiTheme="minorHAnsi" w:hAnsiTheme="minorHAnsi" w:cstheme="minorBidi"/>
        </w:rPr>
        <w:lastRenderedPageBreak/>
        <w:t>Investment Policy</w:t>
      </w:r>
      <w:bookmarkEnd w:id="85"/>
      <w:r w:rsidRPr="1C012DF9" w:rsidDel="00CF6A7F">
        <w:rPr>
          <w:rFonts w:asciiTheme="minorHAnsi" w:hAnsiTheme="minorHAnsi" w:cstheme="minorBidi"/>
        </w:rPr>
        <w:t xml:space="preserve"> </w:t>
      </w:r>
      <w:bookmarkEnd w:id="86"/>
      <w:bookmarkEnd w:id="87"/>
      <w:bookmarkEnd w:id="88"/>
    </w:p>
    <w:p w14:paraId="590B2E1B" w14:textId="6606C05B" w:rsidR="00C431B3" w:rsidRPr="00496FC6" w:rsidRDefault="00BA0FFF" w:rsidP="00BA0FFF">
      <w:pPr>
        <w:ind w:left="0"/>
      </w:pPr>
      <w:r w:rsidDel="00CF6A7F">
        <w:br/>
      </w:r>
      <w:r w:rsidR="00C431B3" w:rsidRPr="00847DD2" w:rsidDel="00CF6A7F">
        <w:t xml:space="preserve">The </w:t>
      </w:r>
      <w:r w:rsidR="009C51FE" w:rsidRPr="00847DD2">
        <w:t>Group</w:t>
      </w:r>
      <w:r w:rsidR="00C431B3" w:rsidRPr="00847DD2" w:rsidDel="00CF6A7F">
        <w:t xml:space="preserve"> meets the conditions of MIFIDPRU 7.1.4R(1</w:t>
      </w:r>
      <w:r w:rsidR="5415BBEF" w:rsidRPr="00847DD2">
        <w:t>)</w:t>
      </w:r>
      <w:r w:rsidR="20A999C4" w:rsidRPr="00847DD2">
        <w:t xml:space="preserve">. As a result, </w:t>
      </w:r>
      <w:r w:rsidR="00C431B3" w:rsidRPr="00847DD2" w:rsidDel="00CF6A7F">
        <w:t xml:space="preserve">the </w:t>
      </w:r>
      <w:r w:rsidR="19471C9B" w:rsidRPr="00847DD2">
        <w:t>disclosure obligations relating to</w:t>
      </w:r>
      <w:r w:rsidR="00C431B3" w:rsidRPr="00847DD2" w:rsidDel="00CF6A7F">
        <w:t xml:space="preserve"> Investment Policy</w:t>
      </w:r>
      <w:r w:rsidR="6B8CC4DF" w:rsidRPr="00847DD2">
        <w:t xml:space="preserve"> set out in </w:t>
      </w:r>
      <w:r w:rsidR="00C431B3" w:rsidRPr="00847DD2" w:rsidDel="00CF6A7F">
        <w:t>MIFIDPRU 8.7.</w:t>
      </w:r>
      <w:r w:rsidR="1BF137F8" w:rsidRPr="00847DD2">
        <w:t xml:space="preserve"> do not apply to the</w:t>
      </w:r>
      <w:r w:rsidR="009C51FE" w:rsidRPr="00847DD2">
        <w:t xml:space="preserve"> Group</w:t>
      </w:r>
      <w:r w:rsidR="1BF137F8" w:rsidRPr="00847DD2">
        <w:t>.</w:t>
      </w:r>
    </w:p>
    <w:sectPr w:rsidR="00C431B3" w:rsidRPr="00496FC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3A037" w14:textId="77777777" w:rsidR="00866FCD" w:rsidRDefault="00866FCD" w:rsidP="000031A3">
      <w:pPr>
        <w:spacing w:after="0" w:line="240" w:lineRule="auto"/>
      </w:pPr>
      <w:r>
        <w:separator/>
      </w:r>
    </w:p>
  </w:endnote>
  <w:endnote w:type="continuationSeparator" w:id="0">
    <w:p w14:paraId="31FD98E1" w14:textId="77777777" w:rsidR="00866FCD" w:rsidRDefault="00866FCD" w:rsidP="000031A3">
      <w:pPr>
        <w:spacing w:after="0" w:line="240" w:lineRule="auto"/>
      </w:pPr>
      <w:r>
        <w:continuationSeparator/>
      </w:r>
    </w:p>
  </w:endnote>
  <w:endnote w:type="continuationNotice" w:id="1">
    <w:p w14:paraId="4336237A" w14:textId="77777777" w:rsidR="00866FCD" w:rsidRDefault="00866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hnschrift SemiLigh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9" w:name="_Hlk89938133" w:displacedByCustomXml="next"/>
  <w:sdt>
    <w:sdtPr>
      <w:id w:val="-1802535341"/>
      <w:docPartObj>
        <w:docPartGallery w:val="Page Numbers (Bottom of Page)"/>
        <w:docPartUnique/>
      </w:docPartObj>
    </w:sdtPr>
    <w:sdtEndPr>
      <w:rPr>
        <w:noProof/>
      </w:rPr>
    </w:sdtEndPr>
    <w:sdtContent>
      <w:p w14:paraId="5A4DFA03" w14:textId="549E8D8C" w:rsidR="00CE6853" w:rsidRDefault="00DA0DE8" w:rsidP="00CE6853">
        <w:pPr>
          <w:pStyle w:val="Footer"/>
          <w:spacing w:after="0"/>
          <w:ind w:left="0"/>
          <w:rPr>
            <w:i/>
            <w:iCs/>
            <w:lang w:val="en-US"/>
          </w:rPr>
        </w:pPr>
        <w:r>
          <w:rPr>
            <w:i/>
            <w:iCs/>
            <w:lang w:val="en-US"/>
          </w:rPr>
          <w:t>Lazard Asset</w:t>
        </w:r>
        <w:r w:rsidR="0091302D" w:rsidRPr="008552CA">
          <w:rPr>
            <w:i/>
            <w:iCs/>
            <w:lang w:val="en-US"/>
          </w:rPr>
          <w:t xml:space="preserve"> </w:t>
        </w:r>
        <w:r>
          <w:rPr>
            <w:i/>
            <w:iCs/>
            <w:lang w:val="en-US"/>
          </w:rPr>
          <w:t xml:space="preserve">Management Limited, </w:t>
        </w:r>
        <w:r w:rsidR="0091302D">
          <w:rPr>
            <w:i/>
            <w:iCs/>
            <w:lang w:val="en-US"/>
          </w:rPr>
          <w:t xml:space="preserve">regulated </w:t>
        </w:r>
        <w:r w:rsidR="0091302D" w:rsidRPr="008552CA">
          <w:rPr>
            <w:i/>
            <w:iCs/>
            <w:lang w:val="en-US"/>
          </w:rPr>
          <w:t>by the FCA No.</w:t>
        </w:r>
        <w:r w:rsidR="3498C462" w:rsidRPr="3498C462">
          <w:rPr>
            <w:i/>
            <w:iCs/>
            <w:lang w:val="en-US"/>
          </w:rPr>
          <w:t xml:space="preserve"> 1</w:t>
        </w:r>
        <w:bookmarkEnd w:id="89"/>
        <w:r w:rsidR="0041151F">
          <w:rPr>
            <w:i/>
            <w:iCs/>
            <w:lang w:val="en-US"/>
          </w:rPr>
          <w:t>21839</w:t>
        </w:r>
      </w:p>
      <w:p w14:paraId="138101FD" w14:textId="6B47A6EB" w:rsidR="0091302D" w:rsidRDefault="00CE6853" w:rsidP="00CE6853">
        <w:pPr>
          <w:pStyle w:val="Footer"/>
          <w:spacing w:after="0"/>
          <w:ind w:left="0"/>
        </w:pPr>
        <w:r>
          <w:rPr>
            <w:i/>
            <w:iCs/>
            <w:lang w:val="en-US"/>
          </w:rPr>
          <w:t xml:space="preserve">Lazard Fund Managers Limited, regulated by the FCA </w:t>
        </w:r>
        <w:r w:rsidR="009D1768">
          <w:rPr>
            <w:i/>
            <w:iCs/>
            <w:lang w:val="en-US"/>
          </w:rPr>
          <w:t>No. 122190</w:t>
        </w:r>
        <w:r w:rsidR="0091302D">
          <w:tab/>
        </w:r>
        <w:r w:rsidR="0091302D" w:rsidRPr="008552CA">
          <w:fldChar w:fldCharType="begin"/>
        </w:r>
        <w:r w:rsidR="0091302D" w:rsidRPr="008552CA">
          <w:instrText xml:space="preserve"> PAGE   \* MERGEFORMAT </w:instrText>
        </w:r>
        <w:r w:rsidR="0091302D" w:rsidRPr="008552CA">
          <w:fldChar w:fldCharType="separate"/>
        </w:r>
        <w:r w:rsidR="005220F7">
          <w:rPr>
            <w:noProof/>
          </w:rPr>
          <w:t>14</w:t>
        </w:r>
        <w:r w:rsidR="0091302D" w:rsidRPr="008552C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29FF" w14:textId="77777777" w:rsidR="00866FCD" w:rsidRDefault="00866FCD" w:rsidP="000031A3">
      <w:pPr>
        <w:spacing w:after="0" w:line="240" w:lineRule="auto"/>
      </w:pPr>
      <w:r>
        <w:separator/>
      </w:r>
    </w:p>
  </w:footnote>
  <w:footnote w:type="continuationSeparator" w:id="0">
    <w:p w14:paraId="09F511AF" w14:textId="77777777" w:rsidR="00866FCD" w:rsidRDefault="00866FCD" w:rsidP="000031A3">
      <w:pPr>
        <w:spacing w:after="0" w:line="240" w:lineRule="auto"/>
      </w:pPr>
      <w:r>
        <w:continuationSeparator/>
      </w:r>
    </w:p>
  </w:footnote>
  <w:footnote w:type="continuationNotice" w:id="1">
    <w:p w14:paraId="2ECDE595" w14:textId="77777777" w:rsidR="00866FCD" w:rsidRDefault="00866F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7A3E" w14:textId="3C70EC33" w:rsidR="0091302D" w:rsidRPr="00496FC6" w:rsidRDefault="00D46359" w:rsidP="0053557F">
    <w:pPr>
      <w:pStyle w:val="Header"/>
      <w:ind w:left="0"/>
      <w:rPr>
        <w:b/>
        <w:i/>
        <w:lang w:val="en-US"/>
      </w:rPr>
    </w:pPr>
    <w:r w:rsidRPr="00D4699F">
      <w:rPr>
        <w:noProof/>
        <w:lang w:eastAsia="en-GB"/>
      </w:rPr>
      <w:drawing>
        <wp:inline distT="0" distB="0" distL="0" distR="0" wp14:anchorId="194768CE" wp14:editId="638C57EA">
          <wp:extent cx="1447800" cy="2737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3566" cy="286210"/>
                  </a:xfrm>
                  <a:prstGeom prst="rect">
                    <a:avLst/>
                  </a:prstGeom>
                </pic:spPr>
              </pic:pic>
            </a:graphicData>
          </a:graphic>
        </wp:inline>
      </w:drawing>
    </w:r>
    <w:r w:rsidR="0091302D" w:rsidRPr="00496FC6">
      <w:rPr>
        <w:rFonts w:cstheme="minorHAnsi"/>
        <w:b/>
        <w:bCs/>
        <w:i/>
        <w:iCs/>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79C"/>
    <w:multiLevelType w:val="multilevel"/>
    <w:tmpl w:val="F1ECA024"/>
    <w:styleLink w:val="LazNumberList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80D60CA"/>
    <w:multiLevelType w:val="hybridMultilevel"/>
    <w:tmpl w:val="DB3C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B48F5"/>
    <w:multiLevelType w:val="hybridMultilevel"/>
    <w:tmpl w:val="31D2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13C1A"/>
    <w:multiLevelType w:val="multilevel"/>
    <w:tmpl w:val="DB2CCEBC"/>
    <w:lvl w:ilvl="0">
      <w:start w:val="1"/>
      <w:numFmt w:val="decimal"/>
      <w:lvlText w:val="%1."/>
      <w:lvlJc w:val="left"/>
      <w:pPr>
        <w:ind w:left="380" w:hanging="380"/>
      </w:pPr>
      <w:rPr>
        <w:rFonts w:hint="default"/>
      </w:rPr>
    </w:lvl>
    <w:lvl w:ilvl="1">
      <w:start w:val="1"/>
      <w:numFmt w:val="decimal"/>
      <w:lvlText w:val="%1.%2."/>
      <w:lvlJc w:val="left"/>
      <w:pPr>
        <w:ind w:left="1287" w:hanging="720"/>
      </w:pPr>
      <w:rPr>
        <w:rFonts w:asciiTheme="minorHAnsi" w:hAnsiTheme="minorHAnsi" w:cstheme="minorHAnsi" w:hint="default"/>
      </w:rPr>
    </w:lvl>
    <w:lvl w:ilvl="2">
      <w:start w:val="1"/>
      <w:numFmt w:val="decimal"/>
      <w:lvlText w:val="%1.%2.%3."/>
      <w:lvlJc w:val="left"/>
      <w:pPr>
        <w:ind w:left="1854" w:hanging="720"/>
      </w:pPr>
      <w:rPr>
        <w:rFonts w:asciiTheme="minorHAnsi" w:hAnsiTheme="minorHAnsi" w:cstheme="minorHAnsi"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3FF1917"/>
    <w:multiLevelType w:val="hybridMultilevel"/>
    <w:tmpl w:val="6C4E53E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434C80"/>
    <w:multiLevelType w:val="hybridMultilevel"/>
    <w:tmpl w:val="109A3746"/>
    <w:lvl w:ilvl="0" w:tplc="0809000F">
      <w:start w:val="1"/>
      <w:numFmt w:val="decimal"/>
      <w:lvlText w:val="%1."/>
      <w:lvlJc w:val="left"/>
      <w:pPr>
        <w:ind w:left="410" w:hanging="360"/>
      </w:pPr>
      <w:rPr>
        <w:rFonts w:hint="default"/>
      </w:rPr>
    </w:lvl>
    <w:lvl w:ilvl="1" w:tplc="0AA48F86">
      <w:start w:val="1"/>
      <w:numFmt w:val="lowerLetter"/>
      <w:lvlText w:val="%2)"/>
      <w:lvlJc w:val="left"/>
      <w:pPr>
        <w:ind w:left="1130" w:hanging="360"/>
      </w:pPr>
      <w:rPr>
        <w:rFonts w:eastAsia="Times New Roman" w:hint="default"/>
      </w:r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6" w15:restartNumberingAfterBreak="0">
    <w:nsid w:val="256C686C"/>
    <w:multiLevelType w:val="hybridMultilevel"/>
    <w:tmpl w:val="6724487E"/>
    <w:lvl w:ilvl="0" w:tplc="72E4F856">
      <w:start w:val="1"/>
      <w:numFmt w:val="bullet"/>
      <w:lvlText w:val="•"/>
      <w:lvlJc w:val="left"/>
      <w:pPr>
        <w:tabs>
          <w:tab w:val="num" w:pos="720"/>
        </w:tabs>
        <w:ind w:left="720" w:hanging="360"/>
      </w:pPr>
      <w:rPr>
        <w:rFonts w:ascii="Arial" w:hAnsi="Arial" w:hint="default"/>
      </w:rPr>
    </w:lvl>
    <w:lvl w:ilvl="1" w:tplc="984ACCE2" w:tentative="1">
      <w:start w:val="1"/>
      <w:numFmt w:val="bullet"/>
      <w:lvlText w:val="•"/>
      <w:lvlJc w:val="left"/>
      <w:pPr>
        <w:tabs>
          <w:tab w:val="num" w:pos="1440"/>
        </w:tabs>
        <w:ind w:left="1440" w:hanging="360"/>
      </w:pPr>
      <w:rPr>
        <w:rFonts w:ascii="Arial" w:hAnsi="Arial" w:hint="default"/>
      </w:rPr>
    </w:lvl>
    <w:lvl w:ilvl="2" w:tplc="6DFE1050" w:tentative="1">
      <w:start w:val="1"/>
      <w:numFmt w:val="bullet"/>
      <w:lvlText w:val="•"/>
      <w:lvlJc w:val="left"/>
      <w:pPr>
        <w:tabs>
          <w:tab w:val="num" w:pos="2160"/>
        </w:tabs>
        <w:ind w:left="2160" w:hanging="360"/>
      </w:pPr>
      <w:rPr>
        <w:rFonts w:ascii="Arial" w:hAnsi="Arial" w:hint="default"/>
      </w:rPr>
    </w:lvl>
    <w:lvl w:ilvl="3" w:tplc="4F1C5652" w:tentative="1">
      <w:start w:val="1"/>
      <w:numFmt w:val="bullet"/>
      <w:lvlText w:val="•"/>
      <w:lvlJc w:val="left"/>
      <w:pPr>
        <w:tabs>
          <w:tab w:val="num" w:pos="2880"/>
        </w:tabs>
        <w:ind w:left="2880" w:hanging="360"/>
      </w:pPr>
      <w:rPr>
        <w:rFonts w:ascii="Arial" w:hAnsi="Arial" w:hint="default"/>
      </w:rPr>
    </w:lvl>
    <w:lvl w:ilvl="4" w:tplc="0B4EE92C" w:tentative="1">
      <w:start w:val="1"/>
      <w:numFmt w:val="bullet"/>
      <w:lvlText w:val="•"/>
      <w:lvlJc w:val="left"/>
      <w:pPr>
        <w:tabs>
          <w:tab w:val="num" w:pos="3600"/>
        </w:tabs>
        <w:ind w:left="3600" w:hanging="360"/>
      </w:pPr>
      <w:rPr>
        <w:rFonts w:ascii="Arial" w:hAnsi="Arial" w:hint="default"/>
      </w:rPr>
    </w:lvl>
    <w:lvl w:ilvl="5" w:tplc="E766B49C" w:tentative="1">
      <w:start w:val="1"/>
      <w:numFmt w:val="bullet"/>
      <w:lvlText w:val="•"/>
      <w:lvlJc w:val="left"/>
      <w:pPr>
        <w:tabs>
          <w:tab w:val="num" w:pos="4320"/>
        </w:tabs>
        <w:ind w:left="4320" w:hanging="360"/>
      </w:pPr>
      <w:rPr>
        <w:rFonts w:ascii="Arial" w:hAnsi="Arial" w:hint="default"/>
      </w:rPr>
    </w:lvl>
    <w:lvl w:ilvl="6" w:tplc="434ADD3E" w:tentative="1">
      <w:start w:val="1"/>
      <w:numFmt w:val="bullet"/>
      <w:lvlText w:val="•"/>
      <w:lvlJc w:val="left"/>
      <w:pPr>
        <w:tabs>
          <w:tab w:val="num" w:pos="5040"/>
        </w:tabs>
        <w:ind w:left="5040" w:hanging="360"/>
      </w:pPr>
      <w:rPr>
        <w:rFonts w:ascii="Arial" w:hAnsi="Arial" w:hint="default"/>
      </w:rPr>
    </w:lvl>
    <w:lvl w:ilvl="7" w:tplc="4726E080" w:tentative="1">
      <w:start w:val="1"/>
      <w:numFmt w:val="bullet"/>
      <w:lvlText w:val="•"/>
      <w:lvlJc w:val="left"/>
      <w:pPr>
        <w:tabs>
          <w:tab w:val="num" w:pos="5760"/>
        </w:tabs>
        <w:ind w:left="5760" w:hanging="360"/>
      </w:pPr>
      <w:rPr>
        <w:rFonts w:ascii="Arial" w:hAnsi="Arial" w:hint="default"/>
      </w:rPr>
    </w:lvl>
    <w:lvl w:ilvl="8" w:tplc="4C70DF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7D531D"/>
    <w:multiLevelType w:val="hybridMultilevel"/>
    <w:tmpl w:val="F0E8AA74"/>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1B2222"/>
    <w:multiLevelType w:val="hybridMultilevel"/>
    <w:tmpl w:val="729C4ED0"/>
    <w:lvl w:ilvl="0" w:tplc="BC825220">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3F5619"/>
    <w:multiLevelType w:val="hybridMultilevel"/>
    <w:tmpl w:val="BE28896C"/>
    <w:lvl w:ilvl="0" w:tplc="740EDFDE">
      <w:start w:val="1"/>
      <w:numFmt w:val="bullet"/>
      <w:pStyle w:val="ListBullet"/>
      <w:lvlText w:val="·"/>
      <w:lvlJc w:val="left"/>
      <w:pPr>
        <w:ind w:left="720" w:hanging="360"/>
      </w:pPr>
      <w:rPr>
        <w:rFonts w:ascii="Symbol" w:hAnsi="Symbol" w:hint="default"/>
        <w:color w:val="4472C4" w:themeColor="accen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825A0E"/>
    <w:multiLevelType w:val="hybridMultilevel"/>
    <w:tmpl w:val="3D926F6A"/>
    <w:lvl w:ilvl="0" w:tplc="BB6A4682">
      <w:start w:val="1"/>
      <w:numFmt w:val="bullet"/>
      <w:lvlText w:val="•"/>
      <w:lvlJc w:val="left"/>
      <w:pPr>
        <w:tabs>
          <w:tab w:val="num" w:pos="720"/>
        </w:tabs>
        <w:ind w:left="720" w:hanging="360"/>
      </w:pPr>
      <w:rPr>
        <w:rFonts w:ascii="Arial" w:hAnsi="Arial" w:hint="default"/>
      </w:rPr>
    </w:lvl>
    <w:lvl w:ilvl="1" w:tplc="5B38F83E" w:tentative="1">
      <w:start w:val="1"/>
      <w:numFmt w:val="bullet"/>
      <w:lvlText w:val="•"/>
      <w:lvlJc w:val="left"/>
      <w:pPr>
        <w:tabs>
          <w:tab w:val="num" w:pos="1440"/>
        </w:tabs>
        <w:ind w:left="1440" w:hanging="360"/>
      </w:pPr>
      <w:rPr>
        <w:rFonts w:ascii="Arial" w:hAnsi="Arial" w:hint="default"/>
      </w:rPr>
    </w:lvl>
    <w:lvl w:ilvl="2" w:tplc="1DBC2360" w:tentative="1">
      <w:start w:val="1"/>
      <w:numFmt w:val="bullet"/>
      <w:lvlText w:val="•"/>
      <w:lvlJc w:val="left"/>
      <w:pPr>
        <w:tabs>
          <w:tab w:val="num" w:pos="2160"/>
        </w:tabs>
        <w:ind w:left="2160" w:hanging="360"/>
      </w:pPr>
      <w:rPr>
        <w:rFonts w:ascii="Arial" w:hAnsi="Arial" w:hint="default"/>
      </w:rPr>
    </w:lvl>
    <w:lvl w:ilvl="3" w:tplc="9A76318E" w:tentative="1">
      <w:start w:val="1"/>
      <w:numFmt w:val="bullet"/>
      <w:lvlText w:val="•"/>
      <w:lvlJc w:val="left"/>
      <w:pPr>
        <w:tabs>
          <w:tab w:val="num" w:pos="2880"/>
        </w:tabs>
        <w:ind w:left="2880" w:hanging="360"/>
      </w:pPr>
      <w:rPr>
        <w:rFonts w:ascii="Arial" w:hAnsi="Arial" w:hint="default"/>
      </w:rPr>
    </w:lvl>
    <w:lvl w:ilvl="4" w:tplc="75B4D544" w:tentative="1">
      <w:start w:val="1"/>
      <w:numFmt w:val="bullet"/>
      <w:lvlText w:val="•"/>
      <w:lvlJc w:val="left"/>
      <w:pPr>
        <w:tabs>
          <w:tab w:val="num" w:pos="3600"/>
        </w:tabs>
        <w:ind w:left="3600" w:hanging="360"/>
      </w:pPr>
      <w:rPr>
        <w:rFonts w:ascii="Arial" w:hAnsi="Arial" w:hint="default"/>
      </w:rPr>
    </w:lvl>
    <w:lvl w:ilvl="5" w:tplc="543853B2" w:tentative="1">
      <w:start w:val="1"/>
      <w:numFmt w:val="bullet"/>
      <w:lvlText w:val="•"/>
      <w:lvlJc w:val="left"/>
      <w:pPr>
        <w:tabs>
          <w:tab w:val="num" w:pos="4320"/>
        </w:tabs>
        <w:ind w:left="4320" w:hanging="360"/>
      </w:pPr>
      <w:rPr>
        <w:rFonts w:ascii="Arial" w:hAnsi="Arial" w:hint="default"/>
      </w:rPr>
    </w:lvl>
    <w:lvl w:ilvl="6" w:tplc="67D281F2" w:tentative="1">
      <w:start w:val="1"/>
      <w:numFmt w:val="bullet"/>
      <w:lvlText w:val="•"/>
      <w:lvlJc w:val="left"/>
      <w:pPr>
        <w:tabs>
          <w:tab w:val="num" w:pos="5040"/>
        </w:tabs>
        <w:ind w:left="5040" w:hanging="360"/>
      </w:pPr>
      <w:rPr>
        <w:rFonts w:ascii="Arial" w:hAnsi="Arial" w:hint="default"/>
      </w:rPr>
    </w:lvl>
    <w:lvl w:ilvl="7" w:tplc="9A622C3E" w:tentative="1">
      <w:start w:val="1"/>
      <w:numFmt w:val="bullet"/>
      <w:lvlText w:val="•"/>
      <w:lvlJc w:val="left"/>
      <w:pPr>
        <w:tabs>
          <w:tab w:val="num" w:pos="5760"/>
        </w:tabs>
        <w:ind w:left="5760" w:hanging="360"/>
      </w:pPr>
      <w:rPr>
        <w:rFonts w:ascii="Arial" w:hAnsi="Arial" w:hint="default"/>
      </w:rPr>
    </w:lvl>
    <w:lvl w:ilvl="8" w:tplc="CF5A59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386BAD"/>
    <w:multiLevelType w:val="hybridMultilevel"/>
    <w:tmpl w:val="3BE645F8"/>
    <w:lvl w:ilvl="0" w:tplc="BC825220">
      <w:start w:val="1"/>
      <w:numFmt w:val="bullet"/>
      <w:lvlText w:val="•"/>
      <w:lvlJc w:val="left"/>
      <w:pPr>
        <w:tabs>
          <w:tab w:val="num" w:pos="720"/>
        </w:tabs>
        <w:ind w:left="720" w:hanging="360"/>
      </w:pPr>
      <w:rPr>
        <w:rFonts w:ascii="Arial" w:hAnsi="Arial" w:hint="default"/>
      </w:rPr>
    </w:lvl>
    <w:lvl w:ilvl="1" w:tplc="17522478" w:tentative="1">
      <w:start w:val="1"/>
      <w:numFmt w:val="bullet"/>
      <w:lvlText w:val="•"/>
      <w:lvlJc w:val="left"/>
      <w:pPr>
        <w:tabs>
          <w:tab w:val="num" w:pos="1440"/>
        </w:tabs>
        <w:ind w:left="1440" w:hanging="360"/>
      </w:pPr>
      <w:rPr>
        <w:rFonts w:ascii="Arial" w:hAnsi="Arial" w:hint="default"/>
      </w:rPr>
    </w:lvl>
    <w:lvl w:ilvl="2" w:tplc="870C7E24" w:tentative="1">
      <w:start w:val="1"/>
      <w:numFmt w:val="bullet"/>
      <w:lvlText w:val="•"/>
      <w:lvlJc w:val="left"/>
      <w:pPr>
        <w:tabs>
          <w:tab w:val="num" w:pos="2160"/>
        </w:tabs>
        <w:ind w:left="2160" w:hanging="360"/>
      </w:pPr>
      <w:rPr>
        <w:rFonts w:ascii="Arial" w:hAnsi="Arial" w:hint="default"/>
      </w:rPr>
    </w:lvl>
    <w:lvl w:ilvl="3" w:tplc="87B497C2" w:tentative="1">
      <w:start w:val="1"/>
      <w:numFmt w:val="bullet"/>
      <w:lvlText w:val="•"/>
      <w:lvlJc w:val="left"/>
      <w:pPr>
        <w:tabs>
          <w:tab w:val="num" w:pos="2880"/>
        </w:tabs>
        <w:ind w:left="2880" w:hanging="360"/>
      </w:pPr>
      <w:rPr>
        <w:rFonts w:ascii="Arial" w:hAnsi="Arial" w:hint="default"/>
      </w:rPr>
    </w:lvl>
    <w:lvl w:ilvl="4" w:tplc="5DA4C298" w:tentative="1">
      <w:start w:val="1"/>
      <w:numFmt w:val="bullet"/>
      <w:lvlText w:val="•"/>
      <w:lvlJc w:val="left"/>
      <w:pPr>
        <w:tabs>
          <w:tab w:val="num" w:pos="3600"/>
        </w:tabs>
        <w:ind w:left="3600" w:hanging="360"/>
      </w:pPr>
      <w:rPr>
        <w:rFonts w:ascii="Arial" w:hAnsi="Arial" w:hint="default"/>
      </w:rPr>
    </w:lvl>
    <w:lvl w:ilvl="5" w:tplc="B5AAF1D0" w:tentative="1">
      <w:start w:val="1"/>
      <w:numFmt w:val="bullet"/>
      <w:lvlText w:val="•"/>
      <w:lvlJc w:val="left"/>
      <w:pPr>
        <w:tabs>
          <w:tab w:val="num" w:pos="4320"/>
        </w:tabs>
        <w:ind w:left="4320" w:hanging="360"/>
      </w:pPr>
      <w:rPr>
        <w:rFonts w:ascii="Arial" w:hAnsi="Arial" w:hint="default"/>
      </w:rPr>
    </w:lvl>
    <w:lvl w:ilvl="6" w:tplc="7FFC5B2C" w:tentative="1">
      <w:start w:val="1"/>
      <w:numFmt w:val="bullet"/>
      <w:lvlText w:val="•"/>
      <w:lvlJc w:val="left"/>
      <w:pPr>
        <w:tabs>
          <w:tab w:val="num" w:pos="5040"/>
        </w:tabs>
        <w:ind w:left="5040" w:hanging="360"/>
      </w:pPr>
      <w:rPr>
        <w:rFonts w:ascii="Arial" w:hAnsi="Arial" w:hint="default"/>
      </w:rPr>
    </w:lvl>
    <w:lvl w:ilvl="7" w:tplc="4412CEEE" w:tentative="1">
      <w:start w:val="1"/>
      <w:numFmt w:val="bullet"/>
      <w:lvlText w:val="•"/>
      <w:lvlJc w:val="left"/>
      <w:pPr>
        <w:tabs>
          <w:tab w:val="num" w:pos="5760"/>
        </w:tabs>
        <w:ind w:left="5760" w:hanging="360"/>
      </w:pPr>
      <w:rPr>
        <w:rFonts w:ascii="Arial" w:hAnsi="Arial" w:hint="default"/>
      </w:rPr>
    </w:lvl>
    <w:lvl w:ilvl="8" w:tplc="2C6A5F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2F116E"/>
    <w:multiLevelType w:val="hybridMultilevel"/>
    <w:tmpl w:val="BB3C77A2"/>
    <w:lvl w:ilvl="0" w:tplc="E2B4D9C8">
      <w:start w:val="1"/>
      <w:numFmt w:val="bullet"/>
      <w:lvlText w:val="•"/>
      <w:lvlJc w:val="left"/>
      <w:pPr>
        <w:tabs>
          <w:tab w:val="num" w:pos="720"/>
        </w:tabs>
        <w:ind w:left="720" w:hanging="360"/>
      </w:pPr>
      <w:rPr>
        <w:rFonts w:ascii="Arial" w:hAnsi="Arial" w:hint="default"/>
      </w:rPr>
    </w:lvl>
    <w:lvl w:ilvl="1" w:tplc="6164CD5E" w:tentative="1">
      <w:start w:val="1"/>
      <w:numFmt w:val="bullet"/>
      <w:lvlText w:val="•"/>
      <w:lvlJc w:val="left"/>
      <w:pPr>
        <w:tabs>
          <w:tab w:val="num" w:pos="1440"/>
        </w:tabs>
        <w:ind w:left="1440" w:hanging="360"/>
      </w:pPr>
      <w:rPr>
        <w:rFonts w:ascii="Arial" w:hAnsi="Arial" w:hint="default"/>
      </w:rPr>
    </w:lvl>
    <w:lvl w:ilvl="2" w:tplc="34305EAE" w:tentative="1">
      <w:start w:val="1"/>
      <w:numFmt w:val="bullet"/>
      <w:lvlText w:val="•"/>
      <w:lvlJc w:val="left"/>
      <w:pPr>
        <w:tabs>
          <w:tab w:val="num" w:pos="2160"/>
        </w:tabs>
        <w:ind w:left="2160" w:hanging="360"/>
      </w:pPr>
      <w:rPr>
        <w:rFonts w:ascii="Arial" w:hAnsi="Arial" w:hint="default"/>
      </w:rPr>
    </w:lvl>
    <w:lvl w:ilvl="3" w:tplc="C95A0FEE" w:tentative="1">
      <w:start w:val="1"/>
      <w:numFmt w:val="bullet"/>
      <w:lvlText w:val="•"/>
      <w:lvlJc w:val="left"/>
      <w:pPr>
        <w:tabs>
          <w:tab w:val="num" w:pos="2880"/>
        </w:tabs>
        <w:ind w:left="2880" w:hanging="360"/>
      </w:pPr>
      <w:rPr>
        <w:rFonts w:ascii="Arial" w:hAnsi="Arial" w:hint="default"/>
      </w:rPr>
    </w:lvl>
    <w:lvl w:ilvl="4" w:tplc="72F479E4" w:tentative="1">
      <w:start w:val="1"/>
      <w:numFmt w:val="bullet"/>
      <w:lvlText w:val="•"/>
      <w:lvlJc w:val="left"/>
      <w:pPr>
        <w:tabs>
          <w:tab w:val="num" w:pos="3600"/>
        </w:tabs>
        <w:ind w:left="3600" w:hanging="360"/>
      </w:pPr>
      <w:rPr>
        <w:rFonts w:ascii="Arial" w:hAnsi="Arial" w:hint="default"/>
      </w:rPr>
    </w:lvl>
    <w:lvl w:ilvl="5" w:tplc="7F9867C6" w:tentative="1">
      <w:start w:val="1"/>
      <w:numFmt w:val="bullet"/>
      <w:lvlText w:val="•"/>
      <w:lvlJc w:val="left"/>
      <w:pPr>
        <w:tabs>
          <w:tab w:val="num" w:pos="4320"/>
        </w:tabs>
        <w:ind w:left="4320" w:hanging="360"/>
      </w:pPr>
      <w:rPr>
        <w:rFonts w:ascii="Arial" w:hAnsi="Arial" w:hint="default"/>
      </w:rPr>
    </w:lvl>
    <w:lvl w:ilvl="6" w:tplc="7EB2F8BA" w:tentative="1">
      <w:start w:val="1"/>
      <w:numFmt w:val="bullet"/>
      <w:lvlText w:val="•"/>
      <w:lvlJc w:val="left"/>
      <w:pPr>
        <w:tabs>
          <w:tab w:val="num" w:pos="5040"/>
        </w:tabs>
        <w:ind w:left="5040" w:hanging="360"/>
      </w:pPr>
      <w:rPr>
        <w:rFonts w:ascii="Arial" w:hAnsi="Arial" w:hint="default"/>
      </w:rPr>
    </w:lvl>
    <w:lvl w:ilvl="7" w:tplc="B6BE2A82" w:tentative="1">
      <w:start w:val="1"/>
      <w:numFmt w:val="bullet"/>
      <w:lvlText w:val="•"/>
      <w:lvlJc w:val="left"/>
      <w:pPr>
        <w:tabs>
          <w:tab w:val="num" w:pos="5760"/>
        </w:tabs>
        <w:ind w:left="5760" w:hanging="360"/>
      </w:pPr>
      <w:rPr>
        <w:rFonts w:ascii="Arial" w:hAnsi="Arial" w:hint="default"/>
      </w:rPr>
    </w:lvl>
    <w:lvl w:ilvl="8" w:tplc="30A6A5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063BC9"/>
    <w:multiLevelType w:val="hybridMultilevel"/>
    <w:tmpl w:val="A3D4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C3F56"/>
    <w:multiLevelType w:val="hybridMultilevel"/>
    <w:tmpl w:val="3E12A5A6"/>
    <w:lvl w:ilvl="0" w:tplc="04090001">
      <w:start w:val="1"/>
      <w:numFmt w:val="bullet"/>
      <w:lvlText w:val=""/>
      <w:lvlJc w:val="left"/>
      <w:pPr>
        <w:ind w:left="720" w:hanging="360"/>
      </w:pPr>
      <w:rPr>
        <w:rFonts w:ascii="Symbol" w:hAnsi="Symbol" w:hint="default"/>
      </w:rPr>
    </w:lvl>
    <w:lvl w:ilvl="1" w:tplc="56E4CC5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21EED"/>
    <w:multiLevelType w:val="hybridMultilevel"/>
    <w:tmpl w:val="90E07D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DD2879"/>
    <w:multiLevelType w:val="multilevel"/>
    <w:tmpl w:val="1C38E860"/>
    <w:lvl w:ilvl="0">
      <w:start w:val="7"/>
      <w:numFmt w:val="decimal"/>
      <w:lvlText w:val="%1."/>
      <w:lvlJc w:val="left"/>
      <w:pPr>
        <w:ind w:left="380" w:hanging="3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asciiTheme="minorHAnsi" w:hAnsiTheme="minorHAnsi" w:cstheme="minorHAnsi"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68654B5B"/>
    <w:multiLevelType w:val="hybridMultilevel"/>
    <w:tmpl w:val="4948BE8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8A376AB"/>
    <w:multiLevelType w:val="hybridMultilevel"/>
    <w:tmpl w:val="8DD6E7A4"/>
    <w:lvl w:ilvl="0" w:tplc="10000001">
      <w:start w:val="1"/>
      <w:numFmt w:val="bullet"/>
      <w:lvlText w:val=""/>
      <w:lvlJc w:val="left"/>
      <w:pPr>
        <w:ind w:left="720" w:hanging="360"/>
      </w:pPr>
      <w:rPr>
        <w:rFonts w:ascii="Symbol" w:hAnsi="Symbol" w:hint="default"/>
        <w:sz w:val="24"/>
        <w:szCs w:val="24"/>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6DC0207B"/>
    <w:multiLevelType w:val="hybridMultilevel"/>
    <w:tmpl w:val="81CAAF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70EE31AA"/>
    <w:multiLevelType w:val="multilevel"/>
    <w:tmpl w:val="B742EA40"/>
    <w:lvl w:ilvl="0">
      <w:start w:val="1"/>
      <w:numFmt w:val="decimal"/>
      <w:lvlText w:val="%1."/>
      <w:lvlJc w:val="left"/>
      <w:pPr>
        <w:ind w:left="927" w:hanging="360"/>
      </w:pPr>
      <w:rPr>
        <w:rFonts w:hint="default"/>
      </w:rPr>
    </w:lvl>
    <w:lvl w:ilvl="1">
      <w:start w:val="2"/>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26437CF"/>
    <w:multiLevelType w:val="hybridMultilevel"/>
    <w:tmpl w:val="8B3CE7B0"/>
    <w:lvl w:ilvl="0" w:tplc="099A97E6">
      <w:start w:val="1"/>
      <w:numFmt w:val="bullet"/>
      <w:lvlText w:val=""/>
      <w:lvlJc w:val="left"/>
      <w:pPr>
        <w:tabs>
          <w:tab w:val="num" w:pos="720"/>
        </w:tabs>
        <w:ind w:left="720" w:hanging="360"/>
      </w:pPr>
      <w:rPr>
        <w:rFonts w:ascii="Symbol" w:hAnsi="Symbol" w:hint="default"/>
      </w:rPr>
    </w:lvl>
    <w:lvl w:ilvl="1" w:tplc="E9C26A4C">
      <w:start w:val="1"/>
      <w:numFmt w:val="lowerLetter"/>
      <w:lvlText w:val="%2."/>
      <w:lvlJc w:val="left"/>
      <w:pPr>
        <w:tabs>
          <w:tab w:val="num" w:pos="1440"/>
        </w:tabs>
        <w:ind w:left="1440" w:hanging="360"/>
      </w:pPr>
    </w:lvl>
    <w:lvl w:ilvl="2" w:tplc="580AF7E4" w:tentative="1">
      <w:start w:val="1"/>
      <w:numFmt w:val="bullet"/>
      <w:lvlText w:val=""/>
      <w:lvlJc w:val="left"/>
      <w:pPr>
        <w:tabs>
          <w:tab w:val="num" w:pos="2160"/>
        </w:tabs>
        <w:ind w:left="2160" w:hanging="360"/>
      </w:pPr>
      <w:rPr>
        <w:rFonts w:ascii="Symbol" w:hAnsi="Symbol" w:hint="default"/>
      </w:rPr>
    </w:lvl>
    <w:lvl w:ilvl="3" w:tplc="A6B02E5E" w:tentative="1">
      <w:start w:val="1"/>
      <w:numFmt w:val="bullet"/>
      <w:lvlText w:val=""/>
      <w:lvlJc w:val="left"/>
      <w:pPr>
        <w:tabs>
          <w:tab w:val="num" w:pos="2880"/>
        </w:tabs>
        <w:ind w:left="2880" w:hanging="360"/>
      </w:pPr>
      <w:rPr>
        <w:rFonts w:ascii="Symbol" w:hAnsi="Symbol" w:hint="default"/>
      </w:rPr>
    </w:lvl>
    <w:lvl w:ilvl="4" w:tplc="185E171C" w:tentative="1">
      <w:start w:val="1"/>
      <w:numFmt w:val="bullet"/>
      <w:lvlText w:val=""/>
      <w:lvlJc w:val="left"/>
      <w:pPr>
        <w:tabs>
          <w:tab w:val="num" w:pos="3600"/>
        </w:tabs>
        <w:ind w:left="3600" w:hanging="360"/>
      </w:pPr>
      <w:rPr>
        <w:rFonts w:ascii="Symbol" w:hAnsi="Symbol" w:hint="default"/>
      </w:rPr>
    </w:lvl>
    <w:lvl w:ilvl="5" w:tplc="FE6649E0" w:tentative="1">
      <w:start w:val="1"/>
      <w:numFmt w:val="bullet"/>
      <w:lvlText w:val=""/>
      <w:lvlJc w:val="left"/>
      <w:pPr>
        <w:tabs>
          <w:tab w:val="num" w:pos="4320"/>
        </w:tabs>
        <w:ind w:left="4320" w:hanging="360"/>
      </w:pPr>
      <w:rPr>
        <w:rFonts w:ascii="Symbol" w:hAnsi="Symbol" w:hint="default"/>
      </w:rPr>
    </w:lvl>
    <w:lvl w:ilvl="6" w:tplc="9306FB8A" w:tentative="1">
      <w:start w:val="1"/>
      <w:numFmt w:val="bullet"/>
      <w:lvlText w:val=""/>
      <w:lvlJc w:val="left"/>
      <w:pPr>
        <w:tabs>
          <w:tab w:val="num" w:pos="5040"/>
        </w:tabs>
        <w:ind w:left="5040" w:hanging="360"/>
      </w:pPr>
      <w:rPr>
        <w:rFonts w:ascii="Symbol" w:hAnsi="Symbol" w:hint="default"/>
      </w:rPr>
    </w:lvl>
    <w:lvl w:ilvl="7" w:tplc="8028F15C" w:tentative="1">
      <w:start w:val="1"/>
      <w:numFmt w:val="bullet"/>
      <w:lvlText w:val=""/>
      <w:lvlJc w:val="left"/>
      <w:pPr>
        <w:tabs>
          <w:tab w:val="num" w:pos="5760"/>
        </w:tabs>
        <w:ind w:left="5760" w:hanging="360"/>
      </w:pPr>
      <w:rPr>
        <w:rFonts w:ascii="Symbol" w:hAnsi="Symbol" w:hint="default"/>
      </w:rPr>
    </w:lvl>
    <w:lvl w:ilvl="8" w:tplc="F97A668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F75080"/>
    <w:multiLevelType w:val="hybridMultilevel"/>
    <w:tmpl w:val="8AA2D124"/>
    <w:lvl w:ilvl="0" w:tplc="FA5C22A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C5BC6"/>
    <w:multiLevelType w:val="hybridMultilevel"/>
    <w:tmpl w:val="E8E65CBA"/>
    <w:lvl w:ilvl="0" w:tplc="3D0A05CE">
      <w:start w:val="1"/>
      <w:numFmt w:val="low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16cid:durableId="1901792333">
    <w:abstractNumId w:val="20"/>
  </w:num>
  <w:num w:numId="2" w16cid:durableId="308554078">
    <w:abstractNumId w:val="3"/>
  </w:num>
  <w:num w:numId="3" w16cid:durableId="290599745">
    <w:abstractNumId w:val="13"/>
  </w:num>
  <w:num w:numId="4" w16cid:durableId="2015565391">
    <w:abstractNumId w:val="2"/>
  </w:num>
  <w:num w:numId="5" w16cid:durableId="413207818">
    <w:abstractNumId w:val="22"/>
  </w:num>
  <w:num w:numId="6" w16cid:durableId="1619094825">
    <w:abstractNumId w:val="15"/>
  </w:num>
  <w:num w:numId="7" w16cid:durableId="646856053">
    <w:abstractNumId w:val="23"/>
  </w:num>
  <w:num w:numId="8" w16cid:durableId="2442036">
    <w:abstractNumId w:val="6"/>
  </w:num>
  <w:num w:numId="9" w16cid:durableId="1022709906">
    <w:abstractNumId w:val="12"/>
  </w:num>
  <w:num w:numId="10" w16cid:durableId="1820919768">
    <w:abstractNumId w:val="10"/>
  </w:num>
  <w:num w:numId="11" w16cid:durableId="1697656758">
    <w:abstractNumId w:val="11"/>
  </w:num>
  <w:num w:numId="12" w16cid:durableId="818301114">
    <w:abstractNumId w:val="8"/>
  </w:num>
  <w:num w:numId="13" w16cid:durableId="358437273">
    <w:abstractNumId w:val="7"/>
  </w:num>
  <w:num w:numId="14" w16cid:durableId="1184170649">
    <w:abstractNumId w:val="21"/>
  </w:num>
  <w:num w:numId="15" w16cid:durableId="830683425">
    <w:abstractNumId w:val="5"/>
  </w:num>
  <w:num w:numId="16" w16cid:durableId="1001158920">
    <w:abstractNumId w:val="9"/>
  </w:num>
  <w:num w:numId="17" w16cid:durableId="368916302">
    <w:abstractNumId w:val="0"/>
  </w:num>
  <w:num w:numId="18" w16cid:durableId="1935943018">
    <w:abstractNumId w:val="16"/>
  </w:num>
  <w:num w:numId="19" w16cid:durableId="1540896173">
    <w:abstractNumId w:val="17"/>
  </w:num>
  <w:num w:numId="20" w16cid:durableId="1651710329">
    <w:abstractNumId w:val="19"/>
  </w:num>
  <w:num w:numId="21" w16cid:durableId="208762911">
    <w:abstractNumId w:val="4"/>
  </w:num>
  <w:num w:numId="22" w16cid:durableId="725449393">
    <w:abstractNumId w:val="14"/>
  </w:num>
  <w:num w:numId="23" w16cid:durableId="2104495341">
    <w:abstractNumId w:val="1"/>
  </w:num>
  <w:num w:numId="24" w16cid:durableId="214631581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F4"/>
    <w:rsid w:val="000031A3"/>
    <w:rsid w:val="0000340C"/>
    <w:rsid w:val="00005296"/>
    <w:rsid w:val="000052BA"/>
    <w:rsid w:val="00006596"/>
    <w:rsid w:val="00010D7B"/>
    <w:rsid w:val="0001315C"/>
    <w:rsid w:val="00013445"/>
    <w:rsid w:val="00013B3A"/>
    <w:rsid w:val="00016212"/>
    <w:rsid w:val="000167A8"/>
    <w:rsid w:val="00025956"/>
    <w:rsid w:val="00025DD5"/>
    <w:rsid w:val="00026380"/>
    <w:rsid w:val="00026E56"/>
    <w:rsid w:val="00030D52"/>
    <w:rsid w:val="00030EDB"/>
    <w:rsid w:val="00033994"/>
    <w:rsid w:val="0003431B"/>
    <w:rsid w:val="000348F1"/>
    <w:rsid w:val="000373B8"/>
    <w:rsid w:val="00040B15"/>
    <w:rsid w:val="00041024"/>
    <w:rsid w:val="00042B21"/>
    <w:rsid w:val="00043712"/>
    <w:rsid w:val="00046EDE"/>
    <w:rsid w:val="00047A34"/>
    <w:rsid w:val="000500EE"/>
    <w:rsid w:val="0005183A"/>
    <w:rsid w:val="000520E3"/>
    <w:rsid w:val="000528CC"/>
    <w:rsid w:val="00052B72"/>
    <w:rsid w:val="00054499"/>
    <w:rsid w:val="000610BD"/>
    <w:rsid w:val="00062003"/>
    <w:rsid w:val="00062815"/>
    <w:rsid w:val="0006312E"/>
    <w:rsid w:val="000635E8"/>
    <w:rsid w:val="00063D64"/>
    <w:rsid w:val="000642A0"/>
    <w:rsid w:val="000645DC"/>
    <w:rsid w:val="00065207"/>
    <w:rsid w:val="00065C6A"/>
    <w:rsid w:val="0006627D"/>
    <w:rsid w:val="00067142"/>
    <w:rsid w:val="00070A8F"/>
    <w:rsid w:val="00072943"/>
    <w:rsid w:val="000743A2"/>
    <w:rsid w:val="0007468E"/>
    <w:rsid w:val="000749DA"/>
    <w:rsid w:val="000760D7"/>
    <w:rsid w:val="00076454"/>
    <w:rsid w:val="00076AE0"/>
    <w:rsid w:val="00076D34"/>
    <w:rsid w:val="00077BF1"/>
    <w:rsid w:val="00077EE0"/>
    <w:rsid w:val="00085D17"/>
    <w:rsid w:val="00086124"/>
    <w:rsid w:val="00086D9D"/>
    <w:rsid w:val="0009146E"/>
    <w:rsid w:val="000944CB"/>
    <w:rsid w:val="00094CA6"/>
    <w:rsid w:val="000950E1"/>
    <w:rsid w:val="0009524A"/>
    <w:rsid w:val="00095424"/>
    <w:rsid w:val="00097300"/>
    <w:rsid w:val="00097981"/>
    <w:rsid w:val="000A095F"/>
    <w:rsid w:val="000A0C08"/>
    <w:rsid w:val="000A1508"/>
    <w:rsid w:val="000A2B84"/>
    <w:rsid w:val="000A456C"/>
    <w:rsid w:val="000A7620"/>
    <w:rsid w:val="000A7638"/>
    <w:rsid w:val="000B0ACF"/>
    <w:rsid w:val="000B0EB3"/>
    <w:rsid w:val="000B31BD"/>
    <w:rsid w:val="000B3231"/>
    <w:rsid w:val="000B33FA"/>
    <w:rsid w:val="000B3A3B"/>
    <w:rsid w:val="000B5016"/>
    <w:rsid w:val="000B615D"/>
    <w:rsid w:val="000B6543"/>
    <w:rsid w:val="000B6BCB"/>
    <w:rsid w:val="000B6C67"/>
    <w:rsid w:val="000C2AED"/>
    <w:rsid w:val="000C3143"/>
    <w:rsid w:val="000C3CB9"/>
    <w:rsid w:val="000C423D"/>
    <w:rsid w:val="000C46F4"/>
    <w:rsid w:val="000C6501"/>
    <w:rsid w:val="000D0D36"/>
    <w:rsid w:val="000D1D37"/>
    <w:rsid w:val="000D23D0"/>
    <w:rsid w:val="000D2527"/>
    <w:rsid w:val="000D2FF4"/>
    <w:rsid w:val="000D4601"/>
    <w:rsid w:val="000D5943"/>
    <w:rsid w:val="000D64D2"/>
    <w:rsid w:val="000E0038"/>
    <w:rsid w:val="000E2294"/>
    <w:rsid w:val="000E7AAF"/>
    <w:rsid w:val="000F0333"/>
    <w:rsid w:val="000F3B02"/>
    <w:rsid w:val="000F48F9"/>
    <w:rsid w:val="000F4F98"/>
    <w:rsid w:val="000F5CA8"/>
    <w:rsid w:val="000F7E36"/>
    <w:rsid w:val="0010013C"/>
    <w:rsid w:val="001014EA"/>
    <w:rsid w:val="00101E2F"/>
    <w:rsid w:val="001023F3"/>
    <w:rsid w:val="0010362C"/>
    <w:rsid w:val="00105261"/>
    <w:rsid w:val="00105732"/>
    <w:rsid w:val="00107B30"/>
    <w:rsid w:val="00111914"/>
    <w:rsid w:val="00113C57"/>
    <w:rsid w:val="001144C6"/>
    <w:rsid w:val="001179C5"/>
    <w:rsid w:val="001227DB"/>
    <w:rsid w:val="00122B2E"/>
    <w:rsid w:val="00122B35"/>
    <w:rsid w:val="001239ED"/>
    <w:rsid w:val="00130FCC"/>
    <w:rsid w:val="001312A4"/>
    <w:rsid w:val="00132C7D"/>
    <w:rsid w:val="001334E1"/>
    <w:rsid w:val="00133B7B"/>
    <w:rsid w:val="00134A93"/>
    <w:rsid w:val="001358D3"/>
    <w:rsid w:val="00136878"/>
    <w:rsid w:val="00137DED"/>
    <w:rsid w:val="00140949"/>
    <w:rsid w:val="00140FD2"/>
    <w:rsid w:val="00141374"/>
    <w:rsid w:val="001426C4"/>
    <w:rsid w:val="001431D1"/>
    <w:rsid w:val="00146B2A"/>
    <w:rsid w:val="001470BC"/>
    <w:rsid w:val="001500FC"/>
    <w:rsid w:val="001511F2"/>
    <w:rsid w:val="00151A3C"/>
    <w:rsid w:val="00152565"/>
    <w:rsid w:val="00152CF0"/>
    <w:rsid w:val="00154A33"/>
    <w:rsid w:val="00154E29"/>
    <w:rsid w:val="00155486"/>
    <w:rsid w:val="00156283"/>
    <w:rsid w:val="001571DD"/>
    <w:rsid w:val="00157D44"/>
    <w:rsid w:val="001630A9"/>
    <w:rsid w:val="00163FB8"/>
    <w:rsid w:val="00164D41"/>
    <w:rsid w:val="0016685B"/>
    <w:rsid w:val="00166DDA"/>
    <w:rsid w:val="00166F57"/>
    <w:rsid w:val="0017109E"/>
    <w:rsid w:val="00171E51"/>
    <w:rsid w:val="0017202D"/>
    <w:rsid w:val="0017217F"/>
    <w:rsid w:val="00172C79"/>
    <w:rsid w:val="00173542"/>
    <w:rsid w:val="001740E0"/>
    <w:rsid w:val="00175616"/>
    <w:rsid w:val="001802EB"/>
    <w:rsid w:val="00182771"/>
    <w:rsid w:val="00183175"/>
    <w:rsid w:val="00183C09"/>
    <w:rsid w:val="001846AD"/>
    <w:rsid w:val="0018473F"/>
    <w:rsid w:val="00184FFC"/>
    <w:rsid w:val="0018521D"/>
    <w:rsid w:val="0018746B"/>
    <w:rsid w:val="00187B38"/>
    <w:rsid w:val="001920AE"/>
    <w:rsid w:val="00192A09"/>
    <w:rsid w:val="00192A1E"/>
    <w:rsid w:val="00193522"/>
    <w:rsid w:val="001938EF"/>
    <w:rsid w:val="00193B01"/>
    <w:rsid w:val="00193E43"/>
    <w:rsid w:val="00195573"/>
    <w:rsid w:val="00195ABC"/>
    <w:rsid w:val="00197F31"/>
    <w:rsid w:val="001A10D4"/>
    <w:rsid w:val="001A10D5"/>
    <w:rsid w:val="001A529F"/>
    <w:rsid w:val="001A63B1"/>
    <w:rsid w:val="001A66E3"/>
    <w:rsid w:val="001A68E3"/>
    <w:rsid w:val="001A708D"/>
    <w:rsid w:val="001B08E3"/>
    <w:rsid w:val="001B0AAF"/>
    <w:rsid w:val="001B0FC1"/>
    <w:rsid w:val="001B1AF2"/>
    <w:rsid w:val="001B2716"/>
    <w:rsid w:val="001B2951"/>
    <w:rsid w:val="001B295D"/>
    <w:rsid w:val="001B2E56"/>
    <w:rsid w:val="001B3193"/>
    <w:rsid w:val="001B34AE"/>
    <w:rsid w:val="001B59D2"/>
    <w:rsid w:val="001B5B32"/>
    <w:rsid w:val="001B6821"/>
    <w:rsid w:val="001C2867"/>
    <w:rsid w:val="001D02BF"/>
    <w:rsid w:val="001D1928"/>
    <w:rsid w:val="001D3D1D"/>
    <w:rsid w:val="001D6056"/>
    <w:rsid w:val="001D6C6D"/>
    <w:rsid w:val="001D7708"/>
    <w:rsid w:val="001D77D6"/>
    <w:rsid w:val="001E01B0"/>
    <w:rsid w:val="001E0876"/>
    <w:rsid w:val="001E16D1"/>
    <w:rsid w:val="001E1A6B"/>
    <w:rsid w:val="001E24A1"/>
    <w:rsid w:val="001E3C6B"/>
    <w:rsid w:val="001E4ED9"/>
    <w:rsid w:val="001E5CF6"/>
    <w:rsid w:val="001E5DA1"/>
    <w:rsid w:val="001E6C6D"/>
    <w:rsid w:val="001E6D83"/>
    <w:rsid w:val="001E7204"/>
    <w:rsid w:val="001F267D"/>
    <w:rsid w:val="001F2A4B"/>
    <w:rsid w:val="001F3D30"/>
    <w:rsid w:val="001F3EA9"/>
    <w:rsid w:val="001F40F4"/>
    <w:rsid w:val="001F5CF6"/>
    <w:rsid w:val="001F6BE4"/>
    <w:rsid w:val="001F6DCC"/>
    <w:rsid w:val="001F7CEC"/>
    <w:rsid w:val="00200682"/>
    <w:rsid w:val="0020071C"/>
    <w:rsid w:val="002008D4"/>
    <w:rsid w:val="00200B51"/>
    <w:rsid w:val="00204B4E"/>
    <w:rsid w:val="002050F9"/>
    <w:rsid w:val="002066F0"/>
    <w:rsid w:val="002078E6"/>
    <w:rsid w:val="00211993"/>
    <w:rsid w:val="00211B7D"/>
    <w:rsid w:val="00214707"/>
    <w:rsid w:val="002159B2"/>
    <w:rsid w:val="0021726E"/>
    <w:rsid w:val="002178CC"/>
    <w:rsid w:val="00221DEB"/>
    <w:rsid w:val="00225A53"/>
    <w:rsid w:val="00226EE3"/>
    <w:rsid w:val="00230FC8"/>
    <w:rsid w:val="00231E23"/>
    <w:rsid w:val="00232171"/>
    <w:rsid w:val="00232A0E"/>
    <w:rsid w:val="00232A13"/>
    <w:rsid w:val="00232E17"/>
    <w:rsid w:val="00232FFC"/>
    <w:rsid w:val="00233D85"/>
    <w:rsid w:val="00234582"/>
    <w:rsid w:val="00236BE9"/>
    <w:rsid w:val="00240F77"/>
    <w:rsid w:val="002425FE"/>
    <w:rsid w:val="00242990"/>
    <w:rsid w:val="002439D5"/>
    <w:rsid w:val="002451CE"/>
    <w:rsid w:val="00247112"/>
    <w:rsid w:val="00254532"/>
    <w:rsid w:val="00254790"/>
    <w:rsid w:val="00256DA8"/>
    <w:rsid w:val="002574C1"/>
    <w:rsid w:val="00260FF6"/>
    <w:rsid w:val="0026114F"/>
    <w:rsid w:val="00264822"/>
    <w:rsid w:val="00264921"/>
    <w:rsid w:val="0026547C"/>
    <w:rsid w:val="00266BEE"/>
    <w:rsid w:val="00267194"/>
    <w:rsid w:val="002711E1"/>
    <w:rsid w:val="002717A6"/>
    <w:rsid w:val="00272F57"/>
    <w:rsid w:val="00276267"/>
    <w:rsid w:val="002765C7"/>
    <w:rsid w:val="0027790D"/>
    <w:rsid w:val="002819CD"/>
    <w:rsid w:val="00282E7A"/>
    <w:rsid w:val="0028306D"/>
    <w:rsid w:val="002834E0"/>
    <w:rsid w:val="00286179"/>
    <w:rsid w:val="00290C52"/>
    <w:rsid w:val="00293BAB"/>
    <w:rsid w:val="00294C0C"/>
    <w:rsid w:val="002960A5"/>
    <w:rsid w:val="00297CD9"/>
    <w:rsid w:val="002A0BD7"/>
    <w:rsid w:val="002A31B1"/>
    <w:rsid w:val="002A45B4"/>
    <w:rsid w:val="002A6250"/>
    <w:rsid w:val="002B0992"/>
    <w:rsid w:val="002B2E16"/>
    <w:rsid w:val="002B3DEB"/>
    <w:rsid w:val="002B4852"/>
    <w:rsid w:val="002B515F"/>
    <w:rsid w:val="002B570D"/>
    <w:rsid w:val="002B57DA"/>
    <w:rsid w:val="002B5D18"/>
    <w:rsid w:val="002B5D99"/>
    <w:rsid w:val="002B7638"/>
    <w:rsid w:val="002C0860"/>
    <w:rsid w:val="002C1D57"/>
    <w:rsid w:val="002C2D2E"/>
    <w:rsid w:val="002C5184"/>
    <w:rsid w:val="002C61C1"/>
    <w:rsid w:val="002C776D"/>
    <w:rsid w:val="002C7F46"/>
    <w:rsid w:val="002D1A27"/>
    <w:rsid w:val="002D2A92"/>
    <w:rsid w:val="002D3DC2"/>
    <w:rsid w:val="002D5BC6"/>
    <w:rsid w:val="002D7306"/>
    <w:rsid w:val="002E12B6"/>
    <w:rsid w:val="002E1449"/>
    <w:rsid w:val="002E46B1"/>
    <w:rsid w:val="002E5C93"/>
    <w:rsid w:val="002E6AA1"/>
    <w:rsid w:val="002E6EC1"/>
    <w:rsid w:val="002F0651"/>
    <w:rsid w:val="002F0C3F"/>
    <w:rsid w:val="002F2B88"/>
    <w:rsid w:val="002F3413"/>
    <w:rsid w:val="002F4BEB"/>
    <w:rsid w:val="002F6BFA"/>
    <w:rsid w:val="002F78CF"/>
    <w:rsid w:val="002F7AF9"/>
    <w:rsid w:val="002F7B07"/>
    <w:rsid w:val="00300F64"/>
    <w:rsid w:val="003017ED"/>
    <w:rsid w:val="00301897"/>
    <w:rsid w:val="00302319"/>
    <w:rsid w:val="0030285B"/>
    <w:rsid w:val="003037D2"/>
    <w:rsid w:val="003064B0"/>
    <w:rsid w:val="00307AF2"/>
    <w:rsid w:val="00310751"/>
    <w:rsid w:val="003139F9"/>
    <w:rsid w:val="003146B3"/>
    <w:rsid w:val="00314F20"/>
    <w:rsid w:val="00315C3F"/>
    <w:rsid w:val="00320C69"/>
    <w:rsid w:val="00321A0E"/>
    <w:rsid w:val="00322C47"/>
    <w:rsid w:val="003239B8"/>
    <w:rsid w:val="003254B3"/>
    <w:rsid w:val="00330412"/>
    <w:rsid w:val="003309B7"/>
    <w:rsid w:val="003320E4"/>
    <w:rsid w:val="003341DE"/>
    <w:rsid w:val="003346EE"/>
    <w:rsid w:val="00334AC5"/>
    <w:rsid w:val="00335C25"/>
    <w:rsid w:val="00336CBD"/>
    <w:rsid w:val="0034089C"/>
    <w:rsid w:val="00341514"/>
    <w:rsid w:val="00343BD2"/>
    <w:rsid w:val="00343E20"/>
    <w:rsid w:val="003451B5"/>
    <w:rsid w:val="00345657"/>
    <w:rsid w:val="0034566C"/>
    <w:rsid w:val="00346E3C"/>
    <w:rsid w:val="00350388"/>
    <w:rsid w:val="00350BBD"/>
    <w:rsid w:val="00350CDC"/>
    <w:rsid w:val="00351A12"/>
    <w:rsid w:val="00352616"/>
    <w:rsid w:val="003533DE"/>
    <w:rsid w:val="0035399C"/>
    <w:rsid w:val="00354FA7"/>
    <w:rsid w:val="00355E96"/>
    <w:rsid w:val="00356B52"/>
    <w:rsid w:val="003622E8"/>
    <w:rsid w:val="00362518"/>
    <w:rsid w:val="003641D6"/>
    <w:rsid w:val="00364BEE"/>
    <w:rsid w:val="00367F16"/>
    <w:rsid w:val="00372048"/>
    <w:rsid w:val="00372086"/>
    <w:rsid w:val="00373087"/>
    <w:rsid w:val="0037309F"/>
    <w:rsid w:val="003738F7"/>
    <w:rsid w:val="00373DEF"/>
    <w:rsid w:val="00374DD7"/>
    <w:rsid w:val="0037518F"/>
    <w:rsid w:val="003823F6"/>
    <w:rsid w:val="0038440D"/>
    <w:rsid w:val="00385BE2"/>
    <w:rsid w:val="00386156"/>
    <w:rsid w:val="00386517"/>
    <w:rsid w:val="00390A1F"/>
    <w:rsid w:val="00392620"/>
    <w:rsid w:val="00394424"/>
    <w:rsid w:val="00394A3B"/>
    <w:rsid w:val="00395270"/>
    <w:rsid w:val="00395FFA"/>
    <w:rsid w:val="0039605D"/>
    <w:rsid w:val="00396586"/>
    <w:rsid w:val="003966DE"/>
    <w:rsid w:val="003969B7"/>
    <w:rsid w:val="003A06D0"/>
    <w:rsid w:val="003A13D6"/>
    <w:rsid w:val="003A41A9"/>
    <w:rsid w:val="003A5473"/>
    <w:rsid w:val="003A618F"/>
    <w:rsid w:val="003B5940"/>
    <w:rsid w:val="003B6968"/>
    <w:rsid w:val="003B696E"/>
    <w:rsid w:val="003B77C3"/>
    <w:rsid w:val="003B7E7A"/>
    <w:rsid w:val="003B7F61"/>
    <w:rsid w:val="003C07C4"/>
    <w:rsid w:val="003C2D47"/>
    <w:rsid w:val="003C3467"/>
    <w:rsid w:val="003C34C8"/>
    <w:rsid w:val="003C4930"/>
    <w:rsid w:val="003C4C38"/>
    <w:rsid w:val="003C5197"/>
    <w:rsid w:val="003C5EF6"/>
    <w:rsid w:val="003C60F2"/>
    <w:rsid w:val="003C63C4"/>
    <w:rsid w:val="003C6B0D"/>
    <w:rsid w:val="003C78A7"/>
    <w:rsid w:val="003D0726"/>
    <w:rsid w:val="003D1E20"/>
    <w:rsid w:val="003D1E81"/>
    <w:rsid w:val="003D26D8"/>
    <w:rsid w:val="003D3B56"/>
    <w:rsid w:val="003D4896"/>
    <w:rsid w:val="003D5B37"/>
    <w:rsid w:val="003E344A"/>
    <w:rsid w:val="003E3791"/>
    <w:rsid w:val="003E43FA"/>
    <w:rsid w:val="003E5362"/>
    <w:rsid w:val="003E5CF1"/>
    <w:rsid w:val="003E6D4A"/>
    <w:rsid w:val="003F03D3"/>
    <w:rsid w:val="003F09C8"/>
    <w:rsid w:val="003F2C56"/>
    <w:rsid w:val="003F510A"/>
    <w:rsid w:val="004055A3"/>
    <w:rsid w:val="00406829"/>
    <w:rsid w:val="00407571"/>
    <w:rsid w:val="00410315"/>
    <w:rsid w:val="0041151F"/>
    <w:rsid w:val="00412763"/>
    <w:rsid w:val="0041369D"/>
    <w:rsid w:val="0041425B"/>
    <w:rsid w:val="00414361"/>
    <w:rsid w:val="00414AEA"/>
    <w:rsid w:val="0041507A"/>
    <w:rsid w:val="004171FE"/>
    <w:rsid w:val="00417AC9"/>
    <w:rsid w:val="00417E6E"/>
    <w:rsid w:val="0042231F"/>
    <w:rsid w:val="00423396"/>
    <w:rsid w:val="0042451F"/>
    <w:rsid w:val="0042499C"/>
    <w:rsid w:val="004251F6"/>
    <w:rsid w:val="00430163"/>
    <w:rsid w:val="004320F9"/>
    <w:rsid w:val="00432B43"/>
    <w:rsid w:val="0043347D"/>
    <w:rsid w:val="00433579"/>
    <w:rsid w:val="00433833"/>
    <w:rsid w:val="00435327"/>
    <w:rsid w:val="00435485"/>
    <w:rsid w:val="00435F20"/>
    <w:rsid w:val="00440EC5"/>
    <w:rsid w:val="00441970"/>
    <w:rsid w:val="00441A08"/>
    <w:rsid w:val="00442214"/>
    <w:rsid w:val="00442D63"/>
    <w:rsid w:val="00445172"/>
    <w:rsid w:val="00445321"/>
    <w:rsid w:val="00446123"/>
    <w:rsid w:val="00446D37"/>
    <w:rsid w:val="00447238"/>
    <w:rsid w:val="00450EDE"/>
    <w:rsid w:val="00453DE0"/>
    <w:rsid w:val="00453DE3"/>
    <w:rsid w:val="004541D2"/>
    <w:rsid w:val="004548AB"/>
    <w:rsid w:val="0045648F"/>
    <w:rsid w:val="00456CD7"/>
    <w:rsid w:val="00457603"/>
    <w:rsid w:val="0045778D"/>
    <w:rsid w:val="004600A7"/>
    <w:rsid w:val="00460296"/>
    <w:rsid w:val="004619BE"/>
    <w:rsid w:val="0046441F"/>
    <w:rsid w:val="0046576D"/>
    <w:rsid w:val="00465FEF"/>
    <w:rsid w:val="004708C6"/>
    <w:rsid w:val="004742A1"/>
    <w:rsid w:val="0047452F"/>
    <w:rsid w:val="004768C3"/>
    <w:rsid w:val="00481841"/>
    <w:rsid w:val="00485163"/>
    <w:rsid w:val="00485EAA"/>
    <w:rsid w:val="00490489"/>
    <w:rsid w:val="00492D40"/>
    <w:rsid w:val="00496642"/>
    <w:rsid w:val="00496B1F"/>
    <w:rsid w:val="00496D5F"/>
    <w:rsid w:val="00496D93"/>
    <w:rsid w:val="00496EFF"/>
    <w:rsid w:val="00496FC6"/>
    <w:rsid w:val="004A120F"/>
    <w:rsid w:val="004A15DC"/>
    <w:rsid w:val="004A17A3"/>
    <w:rsid w:val="004A3B39"/>
    <w:rsid w:val="004A3FBA"/>
    <w:rsid w:val="004A5496"/>
    <w:rsid w:val="004B112D"/>
    <w:rsid w:val="004B1704"/>
    <w:rsid w:val="004B1E44"/>
    <w:rsid w:val="004B2E3B"/>
    <w:rsid w:val="004B2ED9"/>
    <w:rsid w:val="004B3029"/>
    <w:rsid w:val="004B340B"/>
    <w:rsid w:val="004B3AEA"/>
    <w:rsid w:val="004B4FB2"/>
    <w:rsid w:val="004B5C9D"/>
    <w:rsid w:val="004B7570"/>
    <w:rsid w:val="004B7982"/>
    <w:rsid w:val="004B7B5C"/>
    <w:rsid w:val="004B7CEA"/>
    <w:rsid w:val="004C015B"/>
    <w:rsid w:val="004C0EE1"/>
    <w:rsid w:val="004C23E3"/>
    <w:rsid w:val="004C3F8C"/>
    <w:rsid w:val="004C4074"/>
    <w:rsid w:val="004C4C1F"/>
    <w:rsid w:val="004C4EC2"/>
    <w:rsid w:val="004C54C4"/>
    <w:rsid w:val="004C7F92"/>
    <w:rsid w:val="004D046D"/>
    <w:rsid w:val="004D0B7E"/>
    <w:rsid w:val="004D0E5F"/>
    <w:rsid w:val="004D0FEE"/>
    <w:rsid w:val="004D1390"/>
    <w:rsid w:val="004D14CC"/>
    <w:rsid w:val="004D1B7E"/>
    <w:rsid w:val="004D3E08"/>
    <w:rsid w:val="004D5DBD"/>
    <w:rsid w:val="004D618C"/>
    <w:rsid w:val="004D649A"/>
    <w:rsid w:val="004E1C7A"/>
    <w:rsid w:val="004E230D"/>
    <w:rsid w:val="004E2F7F"/>
    <w:rsid w:val="004E44A2"/>
    <w:rsid w:val="004E58F9"/>
    <w:rsid w:val="004E5F7C"/>
    <w:rsid w:val="004E71BF"/>
    <w:rsid w:val="004F1B5B"/>
    <w:rsid w:val="004F381B"/>
    <w:rsid w:val="004F3C11"/>
    <w:rsid w:val="004F3CDE"/>
    <w:rsid w:val="004F412F"/>
    <w:rsid w:val="004F4397"/>
    <w:rsid w:val="004F4FD9"/>
    <w:rsid w:val="004F5155"/>
    <w:rsid w:val="004F5185"/>
    <w:rsid w:val="004F556B"/>
    <w:rsid w:val="004F62AE"/>
    <w:rsid w:val="005002B5"/>
    <w:rsid w:val="00501408"/>
    <w:rsid w:val="00502096"/>
    <w:rsid w:val="005024F8"/>
    <w:rsid w:val="00502751"/>
    <w:rsid w:val="0050293A"/>
    <w:rsid w:val="00504240"/>
    <w:rsid w:val="0050574B"/>
    <w:rsid w:val="00505821"/>
    <w:rsid w:val="00505A99"/>
    <w:rsid w:val="005076B6"/>
    <w:rsid w:val="005116D2"/>
    <w:rsid w:val="00512802"/>
    <w:rsid w:val="00512B20"/>
    <w:rsid w:val="00512FFC"/>
    <w:rsid w:val="005130EA"/>
    <w:rsid w:val="00514611"/>
    <w:rsid w:val="005149B2"/>
    <w:rsid w:val="00514A5C"/>
    <w:rsid w:val="00515B7D"/>
    <w:rsid w:val="005167B1"/>
    <w:rsid w:val="00516C36"/>
    <w:rsid w:val="00517C56"/>
    <w:rsid w:val="00520AF4"/>
    <w:rsid w:val="00521A05"/>
    <w:rsid w:val="005220F7"/>
    <w:rsid w:val="0052353F"/>
    <w:rsid w:val="00524BED"/>
    <w:rsid w:val="005254D3"/>
    <w:rsid w:val="0053080D"/>
    <w:rsid w:val="00531529"/>
    <w:rsid w:val="005315FD"/>
    <w:rsid w:val="00531800"/>
    <w:rsid w:val="0053429B"/>
    <w:rsid w:val="0053557F"/>
    <w:rsid w:val="00535759"/>
    <w:rsid w:val="00536093"/>
    <w:rsid w:val="00540C11"/>
    <w:rsid w:val="00540F3C"/>
    <w:rsid w:val="00541107"/>
    <w:rsid w:val="0054141C"/>
    <w:rsid w:val="00542316"/>
    <w:rsid w:val="00542F61"/>
    <w:rsid w:val="00544915"/>
    <w:rsid w:val="00544C8E"/>
    <w:rsid w:val="00545214"/>
    <w:rsid w:val="005501CF"/>
    <w:rsid w:val="00551E8D"/>
    <w:rsid w:val="00551FA7"/>
    <w:rsid w:val="00553191"/>
    <w:rsid w:val="00554DF0"/>
    <w:rsid w:val="00556976"/>
    <w:rsid w:val="005574E3"/>
    <w:rsid w:val="00557B74"/>
    <w:rsid w:val="00560B47"/>
    <w:rsid w:val="005610CA"/>
    <w:rsid w:val="0056719A"/>
    <w:rsid w:val="00567725"/>
    <w:rsid w:val="005702E8"/>
    <w:rsid w:val="005707E0"/>
    <w:rsid w:val="005710B6"/>
    <w:rsid w:val="005711C5"/>
    <w:rsid w:val="00571348"/>
    <w:rsid w:val="00572C7A"/>
    <w:rsid w:val="0057312C"/>
    <w:rsid w:val="0057390C"/>
    <w:rsid w:val="00574D28"/>
    <w:rsid w:val="00575E8E"/>
    <w:rsid w:val="00576692"/>
    <w:rsid w:val="005767DD"/>
    <w:rsid w:val="00576817"/>
    <w:rsid w:val="00577C64"/>
    <w:rsid w:val="00580755"/>
    <w:rsid w:val="00581486"/>
    <w:rsid w:val="00582CFE"/>
    <w:rsid w:val="005831A2"/>
    <w:rsid w:val="00583F7C"/>
    <w:rsid w:val="00584192"/>
    <w:rsid w:val="00584F1F"/>
    <w:rsid w:val="00585ACF"/>
    <w:rsid w:val="00587307"/>
    <w:rsid w:val="00587391"/>
    <w:rsid w:val="00591791"/>
    <w:rsid w:val="005941DC"/>
    <w:rsid w:val="00596837"/>
    <w:rsid w:val="00596B40"/>
    <w:rsid w:val="005A0968"/>
    <w:rsid w:val="005A0D22"/>
    <w:rsid w:val="005A0F87"/>
    <w:rsid w:val="005A2B55"/>
    <w:rsid w:val="005A303F"/>
    <w:rsid w:val="005A3CA0"/>
    <w:rsid w:val="005A4D11"/>
    <w:rsid w:val="005A51E9"/>
    <w:rsid w:val="005A567A"/>
    <w:rsid w:val="005A6F92"/>
    <w:rsid w:val="005A737B"/>
    <w:rsid w:val="005B282A"/>
    <w:rsid w:val="005B33E9"/>
    <w:rsid w:val="005B3A11"/>
    <w:rsid w:val="005B3BE6"/>
    <w:rsid w:val="005B3D30"/>
    <w:rsid w:val="005B4C57"/>
    <w:rsid w:val="005B50D7"/>
    <w:rsid w:val="005B51CF"/>
    <w:rsid w:val="005B53EA"/>
    <w:rsid w:val="005B5409"/>
    <w:rsid w:val="005B585B"/>
    <w:rsid w:val="005B621E"/>
    <w:rsid w:val="005B6F42"/>
    <w:rsid w:val="005B7361"/>
    <w:rsid w:val="005C0FBF"/>
    <w:rsid w:val="005C19B0"/>
    <w:rsid w:val="005C2CBE"/>
    <w:rsid w:val="005C66C9"/>
    <w:rsid w:val="005C712B"/>
    <w:rsid w:val="005C7385"/>
    <w:rsid w:val="005D0BE6"/>
    <w:rsid w:val="005D2CA0"/>
    <w:rsid w:val="005D65F9"/>
    <w:rsid w:val="005E0101"/>
    <w:rsid w:val="005E1944"/>
    <w:rsid w:val="005E269E"/>
    <w:rsid w:val="005E3B04"/>
    <w:rsid w:val="005E4B21"/>
    <w:rsid w:val="005E7618"/>
    <w:rsid w:val="005E7D4C"/>
    <w:rsid w:val="005F0CB7"/>
    <w:rsid w:val="005F3040"/>
    <w:rsid w:val="005F41CF"/>
    <w:rsid w:val="005F4A92"/>
    <w:rsid w:val="005F55C1"/>
    <w:rsid w:val="005F5A9E"/>
    <w:rsid w:val="005F7460"/>
    <w:rsid w:val="005F764A"/>
    <w:rsid w:val="005F7AB5"/>
    <w:rsid w:val="005F7B31"/>
    <w:rsid w:val="005F7E2E"/>
    <w:rsid w:val="00600951"/>
    <w:rsid w:val="00601D55"/>
    <w:rsid w:val="00601F03"/>
    <w:rsid w:val="00605510"/>
    <w:rsid w:val="006062AC"/>
    <w:rsid w:val="00607B9C"/>
    <w:rsid w:val="006105B7"/>
    <w:rsid w:val="00614668"/>
    <w:rsid w:val="00614836"/>
    <w:rsid w:val="006155E2"/>
    <w:rsid w:val="0061744F"/>
    <w:rsid w:val="00621B99"/>
    <w:rsid w:val="00624DB7"/>
    <w:rsid w:val="0062529F"/>
    <w:rsid w:val="006312B4"/>
    <w:rsid w:val="006317F9"/>
    <w:rsid w:val="00633749"/>
    <w:rsid w:val="0063381D"/>
    <w:rsid w:val="0063587E"/>
    <w:rsid w:val="00636BC0"/>
    <w:rsid w:val="00637A6D"/>
    <w:rsid w:val="0064058A"/>
    <w:rsid w:val="0064061B"/>
    <w:rsid w:val="00640F84"/>
    <w:rsid w:val="0064325C"/>
    <w:rsid w:val="00644AD3"/>
    <w:rsid w:val="00646C8C"/>
    <w:rsid w:val="006473E5"/>
    <w:rsid w:val="00647EE8"/>
    <w:rsid w:val="00650C3C"/>
    <w:rsid w:val="006519D7"/>
    <w:rsid w:val="00651E6A"/>
    <w:rsid w:val="00652EAB"/>
    <w:rsid w:val="00654E1B"/>
    <w:rsid w:val="00656A88"/>
    <w:rsid w:val="00656DDF"/>
    <w:rsid w:val="00657443"/>
    <w:rsid w:val="00657813"/>
    <w:rsid w:val="00660ACF"/>
    <w:rsid w:val="00661AB9"/>
    <w:rsid w:val="00662651"/>
    <w:rsid w:val="0066439F"/>
    <w:rsid w:val="0066679A"/>
    <w:rsid w:val="00667A88"/>
    <w:rsid w:val="0067128B"/>
    <w:rsid w:val="00671EA6"/>
    <w:rsid w:val="006732C0"/>
    <w:rsid w:val="00674945"/>
    <w:rsid w:val="0067529D"/>
    <w:rsid w:val="00676587"/>
    <w:rsid w:val="0067677F"/>
    <w:rsid w:val="006776FB"/>
    <w:rsid w:val="006849FC"/>
    <w:rsid w:val="00684B55"/>
    <w:rsid w:val="00686BE0"/>
    <w:rsid w:val="00687B94"/>
    <w:rsid w:val="00690B9C"/>
    <w:rsid w:val="00692975"/>
    <w:rsid w:val="00694EF4"/>
    <w:rsid w:val="0069562C"/>
    <w:rsid w:val="006957EA"/>
    <w:rsid w:val="00695F99"/>
    <w:rsid w:val="006966B8"/>
    <w:rsid w:val="00697A90"/>
    <w:rsid w:val="006A0264"/>
    <w:rsid w:val="006A43AA"/>
    <w:rsid w:val="006A4AE3"/>
    <w:rsid w:val="006A58F3"/>
    <w:rsid w:val="006A5F66"/>
    <w:rsid w:val="006A7195"/>
    <w:rsid w:val="006A7420"/>
    <w:rsid w:val="006B1618"/>
    <w:rsid w:val="006B1750"/>
    <w:rsid w:val="006B1A78"/>
    <w:rsid w:val="006B2EE0"/>
    <w:rsid w:val="006B60DB"/>
    <w:rsid w:val="006B75FE"/>
    <w:rsid w:val="006C0890"/>
    <w:rsid w:val="006C0B48"/>
    <w:rsid w:val="006C1E1A"/>
    <w:rsid w:val="006C2D87"/>
    <w:rsid w:val="006C38D7"/>
    <w:rsid w:val="006C46F9"/>
    <w:rsid w:val="006C4729"/>
    <w:rsid w:val="006C656D"/>
    <w:rsid w:val="006C7843"/>
    <w:rsid w:val="006D30CC"/>
    <w:rsid w:val="006D3B59"/>
    <w:rsid w:val="006D3DBE"/>
    <w:rsid w:val="006D4D96"/>
    <w:rsid w:val="006D6158"/>
    <w:rsid w:val="006D6679"/>
    <w:rsid w:val="006D670D"/>
    <w:rsid w:val="006D6925"/>
    <w:rsid w:val="006D7DCC"/>
    <w:rsid w:val="006E32D5"/>
    <w:rsid w:val="006E58D7"/>
    <w:rsid w:val="006E5CB6"/>
    <w:rsid w:val="006E698C"/>
    <w:rsid w:val="006E7120"/>
    <w:rsid w:val="006F08D9"/>
    <w:rsid w:val="006F0A24"/>
    <w:rsid w:val="006F13D3"/>
    <w:rsid w:val="006F2FE5"/>
    <w:rsid w:val="006F33EB"/>
    <w:rsid w:val="006F36F5"/>
    <w:rsid w:val="006F45BD"/>
    <w:rsid w:val="006F4C2C"/>
    <w:rsid w:val="006F6CB6"/>
    <w:rsid w:val="006F7A19"/>
    <w:rsid w:val="007006DD"/>
    <w:rsid w:val="00704A79"/>
    <w:rsid w:val="007060A9"/>
    <w:rsid w:val="007070A6"/>
    <w:rsid w:val="007070B4"/>
    <w:rsid w:val="0070780F"/>
    <w:rsid w:val="00707B60"/>
    <w:rsid w:val="007107C0"/>
    <w:rsid w:val="0071096B"/>
    <w:rsid w:val="00711F01"/>
    <w:rsid w:val="00712105"/>
    <w:rsid w:val="007141BC"/>
    <w:rsid w:val="0071494D"/>
    <w:rsid w:val="007151A4"/>
    <w:rsid w:val="00715BA2"/>
    <w:rsid w:val="00715DE9"/>
    <w:rsid w:val="00717E41"/>
    <w:rsid w:val="00720567"/>
    <w:rsid w:val="007211F1"/>
    <w:rsid w:val="007215B8"/>
    <w:rsid w:val="00721B97"/>
    <w:rsid w:val="0072232B"/>
    <w:rsid w:val="00725A98"/>
    <w:rsid w:val="00730B3F"/>
    <w:rsid w:val="00732E5A"/>
    <w:rsid w:val="0073350B"/>
    <w:rsid w:val="0073601D"/>
    <w:rsid w:val="00740D49"/>
    <w:rsid w:val="00744866"/>
    <w:rsid w:val="00744B04"/>
    <w:rsid w:val="00744E32"/>
    <w:rsid w:val="00745044"/>
    <w:rsid w:val="00745085"/>
    <w:rsid w:val="00745596"/>
    <w:rsid w:val="007476D7"/>
    <w:rsid w:val="00755061"/>
    <w:rsid w:val="00755142"/>
    <w:rsid w:val="0075651D"/>
    <w:rsid w:val="007609DE"/>
    <w:rsid w:val="00762040"/>
    <w:rsid w:val="00771F52"/>
    <w:rsid w:val="007724A2"/>
    <w:rsid w:val="0077254F"/>
    <w:rsid w:val="00774506"/>
    <w:rsid w:val="007746D9"/>
    <w:rsid w:val="00775B6D"/>
    <w:rsid w:val="00776363"/>
    <w:rsid w:val="00781D9A"/>
    <w:rsid w:val="0078431B"/>
    <w:rsid w:val="00786024"/>
    <w:rsid w:val="00786344"/>
    <w:rsid w:val="00790328"/>
    <w:rsid w:val="00790AB7"/>
    <w:rsid w:val="00790C3C"/>
    <w:rsid w:val="00791FBB"/>
    <w:rsid w:val="00794365"/>
    <w:rsid w:val="007949A6"/>
    <w:rsid w:val="007966C9"/>
    <w:rsid w:val="00796EE6"/>
    <w:rsid w:val="00797C19"/>
    <w:rsid w:val="00797FBE"/>
    <w:rsid w:val="007A0220"/>
    <w:rsid w:val="007A0834"/>
    <w:rsid w:val="007A092A"/>
    <w:rsid w:val="007A180A"/>
    <w:rsid w:val="007A191A"/>
    <w:rsid w:val="007A22E0"/>
    <w:rsid w:val="007A23AC"/>
    <w:rsid w:val="007A3522"/>
    <w:rsid w:val="007A389C"/>
    <w:rsid w:val="007A460D"/>
    <w:rsid w:val="007A5F0F"/>
    <w:rsid w:val="007A6DB5"/>
    <w:rsid w:val="007B05D3"/>
    <w:rsid w:val="007B07A1"/>
    <w:rsid w:val="007B1DF4"/>
    <w:rsid w:val="007B1ECC"/>
    <w:rsid w:val="007B2F0F"/>
    <w:rsid w:val="007B4FF3"/>
    <w:rsid w:val="007B7036"/>
    <w:rsid w:val="007C020D"/>
    <w:rsid w:val="007C1D1C"/>
    <w:rsid w:val="007C2205"/>
    <w:rsid w:val="007C278F"/>
    <w:rsid w:val="007C3156"/>
    <w:rsid w:val="007C36AE"/>
    <w:rsid w:val="007C47E3"/>
    <w:rsid w:val="007C7706"/>
    <w:rsid w:val="007D0254"/>
    <w:rsid w:val="007D4216"/>
    <w:rsid w:val="007D4C0D"/>
    <w:rsid w:val="007D6E12"/>
    <w:rsid w:val="007D71BC"/>
    <w:rsid w:val="007D7D15"/>
    <w:rsid w:val="007D7E79"/>
    <w:rsid w:val="007E034A"/>
    <w:rsid w:val="007E0EB5"/>
    <w:rsid w:val="007E1162"/>
    <w:rsid w:val="007E21CF"/>
    <w:rsid w:val="007E24B3"/>
    <w:rsid w:val="007E5245"/>
    <w:rsid w:val="007E52A9"/>
    <w:rsid w:val="007E58AC"/>
    <w:rsid w:val="007E5FAE"/>
    <w:rsid w:val="007E6A9A"/>
    <w:rsid w:val="007E713E"/>
    <w:rsid w:val="007F1750"/>
    <w:rsid w:val="007F1C4F"/>
    <w:rsid w:val="007F388D"/>
    <w:rsid w:val="007F506B"/>
    <w:rsid w:val="00800711"/>
    <w:rsid w:val="00800825"/>
    <w:rsid w:val="0080136A"/>
    <w:rsid w:val="008016C5"/>
    <w:rsid w:val="00802973"/>
    <w:rsid w:val="00802B3B"/>
    <w:rsid w:val="00802FB9"/>
    <w:rsid w:val="008063C8"/>
    <w:rsid w:val="008078E1"/>
    <w:rsid w:val="00807F2C"/>
    <w:rsid w:val="008106B6"/>
    <w:rsid w:val="0081418C"/>
    <w:rsid w:val="0081708B"/>
    <w:rsid w:val="008177BE"/>
    <w:rsid w:val="00820DC8"/>
    <w:rsid w:val="00823BDD"/>
    <w:rsid w:val="00825EF6"/>
    <w:rsid w:val="0083099E"/>
    <w:rsid w:val="008309C6"/>
    <w:rsid w:val="00834904"/>
    <w:rsid w:val="00834C34"/>
    <w:rsid w:val="0083554E"/>
    <w:rsid w:val="00835B3A"/>
    <w:rsid w:val="00836E5A"/>
    <w:rsid w:val="008376F3"/>
    <w:rsid w:val="00837C74"/>
    <w:rsid w:val="00840F31"/>
    <w:rsid w:val="00841088"/>
    <w:rsid w:val="0084214D"/>
    <w:rsid w:val="008437EF"/>
    <w:rsid w:val="0084390C"/>
    <w:rsid w:val="00844523"/>
    <w:rsid w:val="00846A80"/>
    <w:rsid w:val="00847DD2"/>
    <w:rsid w:val="00851584"/>
    <w:rsid w:val="00851869"/>
    <w:rsid w:val="00852272"/>
    <w:rsid w:val="008563CA"/>
    <w:rsid w:val="00857575"/>
    <w:rsid w:val="008577EC"/>
    <w:rsid w:val="00857ADE"/>
    <w:rsid w:val="00857D1A"/>
    <w:rsid w:val="00860AD9"/>
    <w:rsid w:val="0086337D"/>
    <w:rsid w:val="00865142"/>
    <w:rsid w:val="00865F2F"/>
    <w:rsid w:val="00866FCD"/>
    <w:rsid w:val="00870C4E"/>
    <w:rsid w:val="00870C96"/>
    <w:rsid w:val="008746CC"/>
    <w:rsid w:val="00874D50"/>
    <w:rsid w:val="00874E18"/>
    <w:rsid w:val="00875D21"/>
    <w:rsid w:val="008769E7"/>
    <w:rsid w:val="008807BC"/>
    <w:rsid w:val="008814D1"/>
    <w:rsid w:val="00881645"/>
    <w:rsid w:val="008821E3"/>
    <w:rsid w:val="008828FE"/>
    <w:rsid w:val="00883429"/>
    <w:rsid w:val="00885996"/>
    <w:rsid w:val="00885EF9"/>
    <w:rsid w:val="00887C36"/>
    <w:rsid w:val="008905CE"/>
    <w:rsid w:val="00894AAC"/>
    <w:rsid w:val="0089503F"/>
    <w:rsid w:val="00895B9A"/>
    <w:rsid w:val="00895F35"/>
    <w:rsid w:val="0089641E"/>
    <w:rsid w:val="008A0119"/>
    <w:rsid w:val="008A347C"/>
    <w:rsid w:val="008A768A"/>
    <w:rsid w:val="008A7928"/>
    <w:rsid w:val="008A7A28"/>
    <w:rsid w:val="008A7ACC"/>
    <w:rsid w:val="008B0842"/>
    <w:rsid w:val="008B2924"/>
    <w:rsid w:val="008B2C13"/>
    <w:rsid w:val="008B3ECF"/>
    <w:rsid w:val="008B404E"/>
    <w:rsid w:val="008B450B"/>
    <w:rsid w:val="008B497E"/>
    <w:rsid w:val="008B68D1"/>
    <w:rsid w:val="008B7115"/>
    <w:rsid w:val="008B712C"/>
    <w:rsid w:val="008C19FA"/>
    <w:rsid w:val="008C2F87"/>
    <w:rsid w:val="008C3543"/>
    <w:rsid w:val="008C419E"/>
    <w:rsid w:val="008C6227"/>
    <w:rsid w:val="008C6FFF"/>
    <w:rsid w:val="008C7573"/>
    <w:rsid w:val="008C7A12"/>
    <w:rsid w:val="008D0306"/>
    <w:rsid w:val="008D08F3"/>
    <w:rsid w:val="008D3743"/>
    <w:rsid w:val="008D585F"/>
    <w:rsid w:val="008D668C"/>
    <w:rsid w:val="008D7417"/>
    <w:rsid w:val="008E023E"/>
    <w:rsid w:val="008E0C48"/>
    <w:rsid w:val="008E1357"/>
    <w:rsid w:val="008E1A26"/>
    <w:rsid w:val="008E2B67"/>
    <w:rsid w:val="008E38E8"/>
    <w:rsid w:val="008E5E72"/>
    <w:rsid w:val="008E667E"/>
    <w:rsid w:val="008F223E"/>
    <w:rsid w:val="008F271C"/>
    <w:rsid w:val="008F3E06"/>
    <w:rsid w:val="008F71C5"/>
    <w:rsid w:val="008F731D"/>
    <w:rsid w:val="00900552"/>
    <w:rsid w:val="00900844"/>
    <w:rsid w:val="00902FE0"/>
    <w:rsid w:val="009052E9"/>
    <w:rsid w:val="0090536D"/>
    <w:rsid w:val="009057BF"/>
    <w:rsid w:val="009062F3"/>
    <w:rsid w:val="00907CE6"/>
    <w:rsid w:val="0091302D"/>
    <w:rsid w:val="009130A1"/>
    <w:rsid w:val="0091361A"/>
    <w:rsid w:val="0091786B"/>
    <w:rsid w:val="009178A4"/>
    <w:rsid w:val="00920167"/>
    <w:rsid w:val="00920407"/>
    <w:rsid w:val="009211AE"/>
    <w:rsid w:val="00921E76"/>
    <w:rsid w:val="009223DA"/>
    <w:rsid w:val="00922E85"/>
    <w:rsid w:val="0092414B"/>
    <w:rsid w:val="00924D0D"/>
    <w:rsid w:val="00924F6C"/>
    <w:rsid w:val="009254B9"/>
    <w:rsid w:val="00927762"/>
    <w:rsid w:val="009356F1"/>
    <w:rsid w:val="00936E38"/>
    <w:rsid w:val="009375AD"/>
    <w:rsid w:val="00937910"/>
    <w:rsid w:val="00940DD9"/>
    <w:rsid w:val="009435BB"/>
    <w:rsid w:val="00943F66"/>
    <w:rsid w:val="00944B1F"/>
    <w:rsid w:val="00946D87"/>
    <w:rsid w:val="00947287"/>
    <w:rsid w:val="009472E4"/>
    <w:rsid w:val="0094780C"/>
    <w:rsid w:val="00947856"/>
    <w:rsid w:val="009500CB"/>
    <w:rsid w:val="0095088B"/>
    <w:rsid w:val="00951BAD"/>
    <w:rsid w:val="00951F7E"/>
    <w:rsid w:val="00952CD5"/>
    <w:rsid w:val="00955486"/>
    <w:rsid w:val="00955A9B"/>
    <w:rsid w:val="00961124"/>
    <w:rsid w:val="00961301"/>
    <w:rsid w:val="00962297"/>
    <w:rsid w:val="009623FA"/>
    <w:rsid w:val="0096610A"/>
    <w:rsid w:val="00967321"/>
    <w:rsid w:val="00967838"/>
    <w:rsid w:val="00967C9B"/>
    <w:rsid w:val="0097178D"/>
    <w:rsid w:val="00974545"/>
    <w:rsid w:val="00974897"/>
    <w:rsid w:val="00975F8F"/>
    <w:rsid w:val="00976844"/>
    <w:rsid w:val="00976B17"/>
    <w:rsid w:val="00977307"/>
    <w:rsid w:val="009805BD"/>
    <w:rsid w:val="0098071A"/>
    <w:rsid w:val="009811C1"/>
    <w:rsid w:val="00982931"/>
    <w:rsid w:val="00983712"/>
    <w:rsid w:val="009837DC"/>
    <w:rsid w:val="00984465"/>
    <w:rsid w:val="00984F55"/>
    <w:rsid w:val="0098504F"/>
    <w:rsid w:val="00986661"/>
    <w:rsid w:val="00990A24"/>
    <w:rsid w:val="00991863"/>
    <w:rsid w:val="0099388B"/>
    <w:rsid w:val="00995E8B"/>
    <w:rsid w:val="00996861"/>
    <w:rsid w:val="009A1CC6"/>
    <w:rsid w:val="009A1EE5"/>
    <w:rsid w:val="009A4E4C"/>
    <w:rsid w:val="009A54DE"/>
    <w:rsid w:val="009A5EAA"/>
    <w:rsid w:val="009A73B0"/>
    <w:rsid w:val="009B1F0F"/>
    <w:rsid w:val="009B2D4E"/>
    <w:rsid w:val="009B6F0D"/>
    <w:rsid w:val="009B7578"/>
    <w:rsid w:val="009C077C"/>
    <w:rsid w:val="009C0E16"/>
    <w:rsid w:val="009C0EC8"/>
    <w:rsid w:val="009C2978"/>
    <w:rsid w:val="009C40BA"/>
    <w:rsid w:val="009C4E48"/>
    <w:rsid w:val="009C51FE"/>
    <w:rsid w:val="009C539E"/>
    <w:rsid w:val="009C5F51"/>
    <w:rsid w:val="009C6B3E"/>
    <w:rsid w:val="009C7448"/>
    <w:rsid w:val="009C7C02"/>
    <w:rsid w:val="009D0858"/>
    <w:rsid w:val="009D1768"/>
    <w:rsid w:val="009D17C2"/>
    <w:rsid w:val="009D1CAB"/>
    <w:rsid w:val="009D21C1"/>
    <w:rsid w:val="009D42B4"/>
    <w:rsid w:val="009D49C0"/>
    <w:rsid w:val="009E346D"/>
    <w:rsid w:val="009E4FA3"/>
    <w:rsid w:val="009E5F42"/>
    <w:rsid w:val="009E62B5"/>
    <w:rsid w:val="009F40E3"/>
    <w:rsid w:val="009F468B"/>
    <w:rsid w:val="009F7129"/>
    <w:rsid w:val="009F71CF"/>
    <w:rsid w:val="00A01F01"/>
    <w:rsid w:val="00A03A36"/>
    <w:rsid w:val="00A067E7"/>
    <w:rsid w:val="00A126CC"/>
    <w:rsid w:val="00A12DFC"/>
    <w:rsid w:val="00A13876"/>
    <w:rsid w:val="00A1462F"/>
    <w:rsid w:val="00A14B2F"/>
    <w:rsid w:val="00A204CC"/>
    <w:rsid w:val="00A208EF"/>
    <w:rsid w:val="00A224F9"/>
    <w:rsid w:val="00A22F06"/>
    <w:rsid w:val="00A24BC7"/>
    <w:rsid w:val="00A2705A"/>
    <w:rsid w:val="00A32125"/>
    <w:rsid w:val="00A321AD"/>
    <w:rsid w:val="00A322BC"/>
    <w:rsid w:val="00A339AD"/>
    <w:rsid w:val="00A34066"/>
    <w:rsid w:val="00A348A3"/>
    <w:rsid w:val="00A35915"/>
    <w:rsid w:val="00A368D6"/>
    <w:rsid w:val="00A37A8A"/>
    <w:rsid w:val="00A40BEE"/>
    <w:rsid w:val="00A40DAF"/>
    <w:rsid w:val="00A42B15"/>
    <w:rsid w:val="00A42E45"/>
    <w:rsid w:val="00A456E3"/>
    <w:rsid w:val="00A464DA"/>
    <w:rsid w:val="00A46EBC"/>
    <w:rsid w:val="00A473E9"/>
    <w:rsid w:val="00A50BE9"/>
    <w:rsid w:val="00A50CE5"/>
    <w:rsid w:val="00A5133D"/>
    <w:rsid w:val="00A517B6"/>
    <w:rsid w:val="00A52F2D"/>
    <w:rsid w:val="00A553ED"/>
    <w:rsid w:val="00A56EDD"/>
    <w:rsid w:val="00A6181B"/>
    <w:rsid w:val="00A62006"/>
    <w:rsid w:val="00A622CB"/>
    <w:rsid w:val="00A62B6F"/>
    <w:rsid w:val="00A62E59"/>
    <w:rsid w:val="00A6330D"/>
    <w:rsid w:val="00A63836"/>
    <w:rsid w:val="00A65CAA"/>
    <w:rsid w:val="00A65EC0"/>
    <w:rsid w:val="00A66571"/>
    <w:rsid w:val="00A67097"/>
    <w:rsid w:val="00A6772C"/>
    <w:rsid w:val="00A67750"/>
    <w:rsid w:val="00A6782B"/>
    <w:rsid w:val="00A67AC4"/>
    <w:rsid w:val="00A70AFE"/>
    <w:rsid w:val="00A711CA"/>
    <w:rsid w:val="00A7203A"/>
    <w:rsid w:val="00A73318"/>
    <w:rsid w:val="00A7334A"/>
    <w:rsid w:val="00A735BB"/>
    <w:rsid w:val="00A74729"/>
    <w:rsid w:val="00A75F1A"/>
    <w:rsid w:val="00A76FAA"/>
    <w:rsid w:val="00A77242"/>
    <w:rsid w:val="00A77CD9"/>
    <w:rsid w:val="00A804E8"/>
    <w:rsid w:val="00A83319"/>
    <w:rsid w:val="00A83DEC"/>
    <w:rsid w:val="00A84907"/>
    <w:rsid w:val="00A850B0"/>
    <w:rsid w:val="00A85879"/>
    <w:rsid w:val="00A85982"/>
    <w:rsid w:val="00A85FB1"/>
    <w:rsid w:val="00A86FB7"/>
    <w:rsid w:val="00A90393"/>
    <w:rsid w:val="00A90CB1"/>
    <w:rsid w:val="00A9245D"/>
    <w:rsid w:val="00A9275F"/>
    <w:rsid w:val="00A956D7"/>
    <w:rsid w:val="00A961B1"/>
    <w:rsid w:val="00A97467"/>
    <w:rsid w:val="00A9E829"/>
    <w:rsid w:val="00AA1875"/>
    <w:rsid w:val="00AA27FE"/>
    <w:rsid w:val="00AA29EB"/>
    <w:rsid w:val="00AA384D"/>
    <w:rsid w:val="00AA407B"/>
    <w:rsid w:val="00AA7500"/>
    <w:rsid w:val="00AB157D"/>
    <w:rsid w:val="00AB1F4B"/>
    <w:rsid w:val="00AB3527"/>
    <w:rsid w:val="00AB3E87"/>
    <w:rsid w:val="00AB562A"/>
    <w:rsid w:val="00AB6C78"/>
    <w:rsid w:val="00AC168D"/>
    <w:rsid w:val="00AC16B9"/>
    <w:rsid w:val="00AC4A16"/>
    <w:rsid w:val="00AC5AFA"/>
    <w:rsid w:val="00AC668A"/>
    <w:rsid w:val="00AC7EBA"/>
    <w:rsid w:val="00AC7EBE"/>
    <w:rsid w:val="00AD0E27"/>
    <w:rsid w:val="00AD1172"/>
    <w:rsid w:val="00AD19BE"/>
    <w:rsid w:val="00AD2C2D"/>
    <w:rsid w:val="00AD4568"/>
    <w:rsid w:val="00AD7700"/>
    <w:rsid w:val="00AE09B4"/>
    <w:rsid w:val="00AE0ADD"/>
    <w:rsid w:val="00AE253B"/>
    <w:rsid w:val="00AE3825"/>
    <w:rsid w:val="00AE3B29"/>
    <w:rsid w:val="00AE3DE9"/>
    <w:rsid w:val="00AE43C9"/>
    <w:rsid w:val="00AE4FDF"/>
    <w:rsid w:val="00AE607C"/>
    <w:rsid w:val="00AE6BEB"/>
    <w:rsid w:val="00AE7177"/>
    <w:rsid w:val="00AF119A"/>
    <w:rsid w:val="00AF15EB"/>
    <w:rsid w:val="00AF2074"/>
    <w:rsid w:val="00AF24A3"/>
    <w:rsid w:val="00AF3459"/>
    <w:rsid w:val="00AF4BBB"/>
    <w:rsid w:val="00AF514D"/>
    <w:rsid w:val="00AF55CB"/>
    <w:rsid w:val="00AF583E"/>
    <w:rsid w:val="00AF6315"/>
    <w:rsid w:val="00AF6E7C"/>
    <w:rsid w:val="00B00755"/>
    <w:rsid w:val="00B01C65"/>
    <w:rsid w:val="00B02433"/>
    <w:rsid w:val="00B027D7"/>
    <w:rsid w:val="00B02AAD"/>
    <w:rsid w:val="00B0316A"/>
    <w:rsid w:val="00B034E0"/>
    <w:rsid w:val="00B03F9C"/>
    <w:rsid w:val="00B047A4"/>
    <w:rsid w:val="00B04F61"/>
    <w:rsid w:val="00B06859"/>
    <w:rsid w:val="00B06917"/>
    <w:rsid w:val="00B07F6C"/>
    <w:rsid w:val="00B104A3"/>
    <w:rsid w:val="00B132A8"/>
    <w:rsid w:val="00B13754"/>
    <w:rsid w:val="00B15E9F"/>
    <w:rsid w:val="00B15FC3"/>
    <w:rsid w:val="00B17781"/>
    <w:rsid w:val="00B17AEA"/>
    <w:rsid w:val="00B276D7"/>
    <w:rsid w:val="00B27D51"/>
    <w:rsid w:val="00B31549"/>
    <w:rsid w:val="00B32EC1"/>
    <w:rsid w:val="00B3370B"/>
    <w:rsid w:val="00B33B79"/>
    <w:rsid w:val="00B35747"/>
    <w:rsid w:val="00B35A8E"/>
    <w:rsid w:val="00B365E4"/>
    <w:rsid w:val="00B3697D"/>
    <w:rsid w:val="00B407CA"/>
    <w:rsid w:val="00B40C9E"/>
    <w:rsid w:val="00B423A3"/>
    <w:rsid w:val="00B42E37"/>
    <w:rsid w:val="00B42E81"/>
    <w:rsid w:val="00B4324A"/>
    <w:rsid w:val="00B445E0"/>
    <w:rsid w:val="00B45042"/>
    <w:rsid w:val="00B45899"/>
    <w:rsid w:val="00B465A8"/>
    <w:rsid w:val="00B50B3B"/>
    <w:rsid w:val="00B51B7E"/>
    <w:rsid w:val="00B54241"/>
    <w:rsid w:val="00B55277"/>
    <w:rsid w:val="00B55598"/>
    <w:rsid w:val="00B609C0"/>
    <w:rsid w:val="00B60EB0"/>
    <w:rsid w:val="00B6142B"/>
    <w:rsid w:val="00B6229C"/>
    <w:rsid w:val="00B62EAD"/>
    <w:rsid w:val="00B64F60"/>
    <w:rsid w:val="00B6515F"/>
    <w:rsid w:val="00B65E9A"/>
    <w:rsid w:val="00B665F3"/>
    <w:rsid w:val="00B66C1F"/>
    <w:rsid w:val="00B671FC"/>
    <w:rsid w:val="00B67276"/>
    <w:rsid w:val="00B67603"/>
    <w:rsid w:val="00B71261"/>
    <w:rsid w:val="00B714B9"/>
    <w:rsid w:val="00B7186A"/>
    <w:rsid w:val="00B7384B"/>
    <w:rsid w:val="00B757E6"/>
    <w:rsid w:val="00B7581B"/>
    <w:rsid w:val="00B7643A"/>
    <w:rsid w:val="00B77686"/>
    <w:rsid w:val="00B83504"/>
    <w:rsid w:val="00B848D9"/>
    <w:rsid w:val="00B861A8"/>
    <w:rsid w:val="00B94DB8"/>
    <w:rsid w:val="00BA0F92"/>
    <w:rsid w:val="00BA0FFF"/>
    <w:rsid w:val="00BA16C3"/>
    <w:rsid w:val="00BA24E1"/>
    <w:rsid w:val="00BA2803"/>
    <w:rsid w:val="00BA493F"/>
    <w:rsid w:val="00BA500E"/>
    <w:rsid w:val="00BA52D4"/>
    <w:rsid w:val="00BA738A"/>
    <w:rsid w:val="00BA7C53"/>
    <w:rsid w:val="00BB0546"/>
    <w:rsid w:val="00BB17B7"/>
    <w:rsid w:val="00BB3F6B"/>
    <w:rsid w:val="00BB492C"/>
    <w:rsid w:val="00BB4B5B"/>
    <w:rsid w:val="00BB5714"/>
    <w:rsid w:val="00BB5AFF"/>
    <w:rsid w:val="00BB60A6"/>
    <w:rsid w:val="00BB75FC"/>
    <w:rsid w:val="00BB7E8C"/>
    <w:rsid w:val="00BC10F0"/>
    <w:rsid w:val="00BC1355"/>
    <w:rsid w:val="00BC25A4"/>
    <w:rsid w:val="00BC2B06"/>
    <w:rsid w:val="00BC31A4"/>
    <w:rsid w:val="00BC4117"/>
    <w:rsid w:val="00BC5AF3"/>
    <w:rsid w:val="00BC61E4"/>
    <w:rsid w:val="00BC7BD3"/>
    <w:rsid w:val="00BD02AA"/>
    <w:rsid w:val="00BD0A94"/>
    <w:rsid w:val="00BD1C5A"/>
    <w:rsid w:val="00BD1D30"/>
    <w:rsid w:val="00BD4165"/>
    <w:rsid w:val="00BD41B8"/>
    <w:rsid w:val="00BD4B57"/>
    <w:rsid w:val="00BD7FDA"/>
    <w:rsid w:val="00BE0199"/>
    <w:rsid w:val="00BE0804"/>
    <w:rsid w:val="00BE0DA3"/>
    <w:rsid w:val="00BE14CA"/>
    <w:rsid w:val="00BE3C05"/>
    <w:rsid w:val="00BE452A"/>
    <w:rsid w:val="00BE4A7F"/>
    <w:rsid w:val="00BE4B5A"/>
    <w:rsid w:val="00BE4E6D"/>
    <w:rsid w:val="00BE5946"/>
    <w:rsid w:val="00BE5BC0"/>
    <w:rsid w:val="00BE62BC"/>
    <w:rsid w:val="00BE70D9"/>
    <w:rsid w:val="00BF069A"/>
    <w:rsid w:val="00BF1779"/>
    <w:rsid w:val="00BF17F0"/>
    <w:rsid w:val="00BF718B"/>
    <w:rsid w:val="00BF77AC"/>
    <w:rsid w:val="00BF782E"/>
    <w:rsid w:val="00BF7B8F"/>
    <w:rsid w:val="00C0099E"/>
    <w:rsid w:val="00C00AA2"/>
    <w:rsid w:val="00C01331"/>
    <w:rsid w:val="00C0183B"/>
    <w:rsid w:val="00C02064"/>
    <w:rsid w:val="00C0275D"/>
    <w:rsid w:val="00C04321"/>
    <w:rsid w:val="00C11353"/>
    <w:rsid w:val="00C113B3"/>
    <w:rsid w:val="00C127FC"/>
    <w:rsid w:val="00C1459E"/>
    <w:rsid w:val="00C15BD6"/>
    <w:rsid w:val="00C2094B"/>
    <w:rsid w:val="00C209EA"/>
    <w:rsid w:val="00C20B27"/>
    <w:rsid w:val="00C210A4"/>
    <w:rsid w:val="00C2145B"/>
    <w:rsid w:val="00C228F4"/>
    <w:rsid w:val="00C272CD"/>
    <w:rsid w:val="00C31894"/>
    <w:rsid w:val="00C3252F"/>
    <w:rsid w:val="00C326A1"/>
    <w:rsid w:val="00C34E4A"/>
    <w:rsid w:val="00C3512E"/>
    <w:rsid w:val="00C3678A"/>
    <w:rsid w:val="00C41DE3"/>
    <w:rsid w:val="00C431B3"/>
    <w:rsid w:val="00C43FE2"/>
    <w:rsid w:val="00C441B1"/>
    <w:rsid w:val="00C44535"/>
    <w:rsid w:val="00C44873"/>
    <w:rsid w:val="00C50AC9"/>
    <w:rsid w:val="00C60852"/>
    <w:rsid w:val="00C62D47"/>
    <w:rsid w:val="00C6307D"/>
    <w:rsid w:val="00C6420B"/>
    <w:rsid w:val="00C65249"/>
    <w:rsid w:val="00C6624E"/>
    <w:rsid w:val="00C6641F"/>
    <w:rsid w:val="00C66BAA"/>
    <w:rsid w:val="00C70BCA"/>
    <w:rsid w:val="00C724F5"/>
    <w:rsid w:val="00C72753"/>
    <w:rsid w:val="00C740AA"/>
    <w:rsid w:val="00C75600"/>
    <w:rsid w:val="00C75A40"/>
    <w:rsid w:val="00C76896"/>
    <w:rsid w:val="00C81EFB"/>
    <w:rsid w:val="00C8227E"/>
    <w:rsid w:val="00C823C2"/>
    <w:rsid w:val="00C824D3"/>
    <w:rsid w:val="00C82CF9"/>
    <w:rsid w:val="00C83D98"/>
    <w:rsid w:val="00C851BE"/>
    <w:rsid w:val="00C85DE9"/>
    <w:rsid w:val="00C91CA6"/>
    <w:rsid w:val="00C971F8"/>
    <w:rsid w:val="00CA0624"/>
    <w:rsid w:val="00CA07C4"/>
    <w:rsid w:val="00CA11AF"/>
    <w:rsid w:val="00CA2830"/>
    <w:rsid w:val="00CA3637"/>
    <w:rsid w:val="00CA404E"/>
    <w:rsid w:val="00CA4D82"/>
    <w:rsid w:val="00CA5107"/>
    <w:rsid w:val="00CA52C1"/>
    <w:rsid w:val="00CA57AC"/>
    <w:rsid w:val="00CA61EA"/>
    <w:rsid w:val="00CB1C53"/>
    <w:rsid w:val="00CB253F"/>
    <w:rsid w:val="00CB2F88"/>
    <w:rsid w:val="00CB30AD"/>
    <w:rsid w:val="00CB32A2"/>
    <w:rsid w:val="00CB368D"/>
    <w:rsid w:val="00CB3D70"/>
    <w:rsid w:val="00CB556D"/>
    <w:rsid w:val="00CB5726"/>
    <w:rsid w:val="00CB61DE"/>
    <w:rsid w:val="00CB7F8C"/>
    <w:rsid w:val="00CC1172"/>
    <w:rsid w:val="00CC1C09"/>
    <w:rsid w:val="00CC2B7F"/>
    <w:rsid w:val="00CC2F09"/>
    <w:rsid w:val="00CC41D5"/>
    <w:rsid w:val="00CC60CF"/>
    <w:rsid w:val="00CC764E"/>
    <w:rsid w:val="00CC7A96"/>
    <w:rsid w:val="00CD266F"/>
    <w:rsid w:val="00CD31E4"/>
    <w:rsid w:val="00CD5AAF"/>
    <w:rsid w:val="00CD6BBF"/>
    <w:rsid w:val="00CD7382"/>
    <w:rsid w:val="00CD73EF"/>
    <w:rsid w:val="00CD7DA4"/>
    <w:rsid w:val="00CE1AD1"/>
    <w:rsid w:val="00CE2277"/>
    <w:rsid w:val="00CE30D7"/>
    <w:rsid w:val="00CE3E19"/>
    <w:rsid w:val="00CE446B"/>
    <w:rsid w:val="00CE4471"/>
    <w:rsid w:val="00CE6853"/>
    <w:rsid w:val="00CE7AC6"/>
    <w:rsid w:val="00CF338A"/>
    <w:rsid w:val="00CF3461"/>
    <w:rsid w:val="00CF3517"/>
    <w:rsid w:val="00CF62D1"/>
    <w:rsid w:val="00CF6925"/>
    <w:rsid w:val="00CF6A7F"/>
    <w:rsid w:val="00CF75D6"/>
    <w:rsid w:val="00D00087"/>
    <w:rsid w:val="00D00FCB"/>
    <w:rsid w:val="00D014B6"/>
    <w:rsid w:val="00D021CC"/>
    <w:rsid w:val="00D0338B"/>
    <w:rsid w:val="00D04E70"/>
    <w:rsid w:val="00D05581"/>
    <w:rsid w:val="00D05C4A"/>
    <w:rsid w:val="00D06D25"/>
    <w:rsid w:val="00D07B2C"/>
    <w:rsid w:val="00D10EC0"/>
    <w:rsid w:val="00D11823"/>
    <w:rsid w:val="00D12600"/>
    <w:rsid w:val="00D1302D"/>
    <w:rsid w:val="00D13B30"/>
    <w:rsid w:val="00D14A5E"/>
    <w:rsid w:val="00D14E65"/>
    <w:rsid w:val="00D1501B"/>
    <w:rsid w:val="00D22E46"/>
    <w:rsid w:val="00D23C64"/>
    <w:rsid w:val="00D24EF0"/>
    <w:rsid w:val="00D25305"/>
    <w:rsid w:val="00D25F4C"/>
    <w:rsid w:val="00D27A19"/>
    <w:rsid w:val="00D27BC4"/>
    <w:rsid w:val="00D32C4E"/>
    <w:rsid w:val="00D33C7B"/>
    <w:rsid w:val="00D35CED"/>
    <w:rsid w:val="00D35FBC"/>
    <w:rsid w:val="00D36C4B"/>
    <w:rsid w:val="00D37A7C"/>
    <w:rsid w:val="00D425D6"/>
    <w:rsid w:val="00D429CA"/>
    <w:rsid w:val="00D43714"/>
    <w:rsid w:val="00D43930"/>
    <w:rsid w:val="00D43B63"/>
    <w:rsid w:val="00D44EF7"/>
    <w:rsid w:val="00D46359"/>
    <w:rsid w:val="00D500CF"/>
    <w:rsid w:val="00D50B72"/>
    <w:rsid w:val="00D5229C"/>
    <w:rsid w:val="00D52A87"/>
    <w:rsid w:val="00D52E3E"/>
    <w:rsid w:val="00D53B93"/>
    <w:rsid w:val="00D53F89"/>
    <w:rsid w:val="00D545AA"/>
    <w:rsid w:val="00D549F9"/>
    <w:rsid w:val="00D54B73"/>
    <w:rsid w:val="00D5563C"/>
    <w:rsid w:val="00D559F3"/>
    <w:rsid w:val="00D60A27"/>
    <w:rsid w:val="00D60C82"/>
    <w:rsid w:val="00D61D23"/>
    <w:rsid w:val="00D61DF7"/>
    <w:rsid w:val="00D63E48"/>
    <w:rsid w:val="00D65C4C"/>
    <w:rsid w:val="00D66CE2"/>
    <w:rsid w:val="00D73732"/>
    <w:rsid w:val="00D76292"/>
    <w:rsid w:val="00D7796A"/>
    <w:rsid w:val="00D81468"/>
    <w:rsid w:val="00D83119"/>
    <w:rsid w:val="00D83D5D"/>
    <w:rsid w:val="00D84917"/>
    <w:rsid w:val="00D85241"/>
    <w:rsid w:val="00D85D79"/>
    <w:rsid w:val="00D863AE"/>
    <w:rsid w:val="00D86BD2"/>
    <w:rsid w:val="00D87309"/>
    <w:rsid w:val="00D9185C"/>
    <w:rsid w:val="00D92076"/>
    <w:rsid w:val="00D929FD"/>
    <w:rsid w:val="00D92A88"/>
    <w:rsid w:val="00D92F62"/>
    <w:rsid w:val="00D93C7F"/>
    <w:rsid w:val="00D93E8C"/>
    <w:rsid w:val="00D94405"/>
    <w:rsid w:val="00D9464E"/>
    <w:rsid w:val="00D957EE"/>
    <w:rsid w:val="00D96326"/>
    <w:rsid w:val="00D966F1"/>
    <w:rsid w:val="00D97676"/>
    <w:rsid w:val="00DA0DE8"/>
    <w:rsid w:val="00DA14CC"/>
    <w:rsid w:val="00DA1DF6"/>
    <w:rsid w:val="00DA1F5B"/>
    <w:rsid w:val="00DA26DA"/>
    <w:rsid w:val="00DA33D7"/>
    <w:rsid w:val="00DA54C4"/>
    <w:rsid w:val="00DA779E"/>
    <w:rsid w:val="00DB1693"/>
    <w:rsid w:val="00DB18FD"/>
    <w:rsid w:val="00DB1A08"/>
    <w:rsid w:val="00DB50F4"/>
    <w:rsid w:val="00DB7B3D"/>
    <w:rsid w:val="00DC1468"/>
    <w:rsid w:val="00DC1902"/>
    <w:rsid w:val="00DC1DCB"/>
    <w:rsid w:val="00DC2A4C"/>
    <w:rsid w:val="00DC2BEF"/>
    <w:rsid w:val="00DC380E"/>
    <w:rsid w:val="00DC3879"/>
    <w:rsid w:val="00DC5AD5"/>
    <w:rsid w:val="00DD01A7"/>
    <w:rsid w:val="00DD0C3C"/>
    <w:rsid w:val="00DD0FF1"/>
    <w:rsid w:val="00DD1DE0"/>
    <w:rsid w:val="00DD1E4F"/>
    <w:rsid w:val="00DD4053"/>
    <w:rsid w:val="00DD593A"/>
    <w:rsid w:val="00DD6BE6"/>
    <w:rsid w:val="00DE0CDA"/>
    <w:rsid w:val="00DE0D03"/>
    <w:rsid w:val="00DE10E2"/>
    <w:rsid w:val="00DE1D98"/>
    <w:rsid w:val="00DE25B3"/>
    <w:rsid w:val="00DE3A47"/>
    <w:rsid w:val="00DE4580"/>
    <w:rsid w:val="00DE4F3F"/>
    <w:rsid w:val="00DE6195"/>
    <w:rsid w:val="00DE788E"/>
    <w:rsid w:val="00DF03A6"/>
    <w:rsid w:val="00DF1A9B"/>
    <w:rsid w:val="00DF322C"/>
    <w:rsid w:val="00DF381D"/>
    <w:rsid w:val="00DF7622"/>
    <w:rsid w:val="00DF7B89"/>
    <w:rsid w:val="00E01008"/>
    <w:rsid w:val="00E01C10"/>
    <w:rsid w:val="00E023ED"/>
    <w:rsid w:val="00E0724C"/>
    <w:rsid w:val="00E116F9"/>
    <w:rsid w:val="00E11703"/>
    <w:rsid w:val="00E11938"/>
    <w:rsid w:val="00E11DB1"/>
    <w:rsid w:val="00E152D4"/>
    <w:rsid w:val="00E16523"/>
    <w:rsid w:val="00E17895"/>
    <w:rsid w:val="00E20439"/>
    <w:rsid w:val="00E20EA3"/>
    <w:rsid w:val="00E22C99"/>
    <w:rsid w:val="00E23415"/>
    <w:rsid w:val="00E25525"/>
    <w:rsid w:val="00E27407"/>
    <w:rsid w:val="00E27B44"/>
    <w:rsid w:val="00E31515"/>
    <w:rsid w:val="00E32376"/>
    <w:rsid w:val="00E36858"/>
    <w:rsid w:val="00E37D27"/>
    <w:rsid w:val="00E415F5"/>
    <w:rsid w:val="00E43979"/>
    <w:rsid w:val="00E442F4"/>
    <w:rsid w:val="00E44351"/>
    <w:rsid w:val="00E443C6"/>
    <w:rsid w:val="00E46CFF"/>
    <w:rsid w:val="00E475F0"/>
    <w:rsid w:val="00E479FF"/>
    <w:rsid w:val="00E50379"/>
    <w:rsid w:val="00E5188F"/>
    <w:rsid w:val="00E51E43"/>
    <w:rsid w:val="00E52474"/>
    <w:rsid w:val="00E536CE"/>
    <w:rsid w:val="00E547FA"/>
    <w:rsid w:val="00E554B7"/>
    <w:rsid w:val="00E57CCF"/>
    <w:rsid w:val="00E60026"/>
    <w:rsid w:val="00E60219"/>
    <w:rsid w:val="00E66C3C"/>
    <w:rsid w:val="00E7091B"/>
    <w:rsid w:val="00E722C7"/>
    <w:rsid w:val="00E74F4B"/>
    <w:rsid w:val="00E750A3"/>
    <w:rsid w:val="00E75673"/>
    <w:rsid w:val="00E75710"/>
    <w:rsid w:val="00E804D9"/>
    <w:rsid w:val="00E82C75"/>
    <w:rsid w:val="00E8446D"/>
    <w:rsid w:val="00E84E23"/>
    <w:rsid w:val="00E84EC8"/>
    <w:rsid w:val="00E850BE"/>
    <w:rsid w:val="00E85E33"/>
    <w:rsid w:val="00E872DC"/>
    <w:rsid w:val="00E90020"/>
    <w:rsid w:val="00E911AE"/>
    <w:rsid w:val="00E91BA2"/>
    <w:rsid w:val="00E931AD"/>
    <w:rsid w:val="00E9542F"/>
    <w:rsid w:val="00E956BC"/>
    <w:rsid w:val="00E975F9"/>
    <w:rsid w:val="00EA1290"/>
    <w:rsid w:val="00EA1B10"/>
    <w:rsid w:val="00EA26B4"/>
    <w:rsid w:val="00EA28FE"/>
    <w:rsid w:val="00EA4316"/>
    <w:rsid w:val="00EA4776"/>
    <w:rsid w:val="00EA5BA3"/>
    <w:rsid w:val="00EA648F"/>
    <w:rsid w:val="00EA7E00"/>
    <w:rsid w:val="00EB1342"/>
    <w:rsid w:val="00EB1C2A"/>
    <w:rsid w:val="00EB3A5F"/>
    <w:rsid w:val="00EB48E3"/>
    <w:rsid w:val="00EB4DB2"/>
    <w:rsid w:val="00EB6114"/>
    <w:rsid w:val="00EC406A"/>
    <w:rsid w:val="00ED0ECE"/>
    <w:rsid w:val="00ED4943"/>
    <w:rsid w:val="00ED5F8B"/>
    <w:rsid w:val="00ED71DA"/>
    <w:rsid w:val="00ED7E23"/>
    <w:rsid w:val="00EE067F"/>
    <w:rsid w:val="00EE0EF4"/>
    <w:rsid w:val="00EE1D11"/>
    <w:rsid w:val="00EE4168"/>
    <w:rsid w:val="00EE4B2D"/>
    <w:rsid w:val="00EE5236"/>
    <w:rsid w:val="00EE548A"/>
    <w:rsid w:val="00EE615E"/>
    <w:rsid w:val="00EE78F6"/>
    <w:rsid w:val="00EF0521"/>
    <w:rsid w:val="00EF079B"/>
    <w:rsid w:val="00EF1EE7"/>
    <w:rsid w:val="00EF30C9"/>
    <w:rsid w:val="00EF35E9"/>
    <w:rsid w:val="00EF4324"/>
    <w:rsid w:val="00EF561A"/>
    <w:rsid w:val="00EF5669"/>
    <w:rsid w:val="00EF5A06"/>
    <w:rsid w:val="00EF7412"/>
    <w:rsid w:val="00EF7449"/>
    <w:rsid w:val="00EF7E95"/>
    <w:rsid w:val="00F002E9"/>
    <w:rsid w:val="00F03BE4"/>
    <w:rsid w:val="00F04092"/>
    <w:rsid w:val="00F04EC2"/>
    <w:rsid w:val="00F0677E"/>
    <w:rsid w:val="00F076BB"/>
    <w:rsid w:val="00F108F9"/>
    <w:rsid w:val="00F10BE0"/>
    <w:rsid w:val="00F11A20"/>
    <w:rsid w:val="00F1333A"/>
    <w:rsid w:val="00F13818"/>
    <w:rsid w:val="00F14521"/>
    <w:rsid w:val="00F14D55"/>
    <w:rsid w:val="00F15876"/>
    <w:rsid w:val="00F165BC"/>
    <w:rsid w:val="00F17A6C"/>
    <w:rsid w:val="00F2042D"/>
    <w:rsid w:val="00F206F2"/>
    <w:rsid w:val="00F20FFF"/>
    <w:rsid w:val="00F22C4A"/>
    <w:rsid w:val="00F22E9E"/>
    <w:rsid w:val="00F23D77"/>
    <w:rsid w:val="00F24B0B"/>
    <w:rsid w:val="00F26BED"/>
    <w:rsid w:val="00F2729D"/>
    <w:rsid w:val="00F2A340"/>
    <w:rsid w:val="00F317D6"/>
    <w:rsid w:val="00F3398E"/>
    <w:rsid w:val="00F341B8"/>
    <w:rsid w:val="00F34628"/>
    <w:rsid w:val="00F36C9B"/>
    <w:rsid w:val="00F37A96"/>
    <w:rsid w:val="00F4060B"/>
    <w:rsid w:val="00F407B7"/>
    <w:rsid w:val="00F41603"/>
    <w:rsid w:val="00F42796"/>
    <w:rsid w:val="00F42BA1"/>
    <w:rsid w:val="00F42F41"/>
    <w:rsid w:val="00F43ACD"/>
    <w:rsid w:val="00F44531"/>
    <w:rsid w:val="00F44743"/>
    <w:rsid w:val="00F45891"/>
    <w:rsid w:val="00F50343"/>
    <w:rsid w:val="00F52C49"/>
    <w:rsid w:val="00F52D57"/>
    <w:rsid w:val="00F544F5"/>
    <w:rsid w:val="00F556C9"/>
    <w:rsid w:val="00F57599"/>
    <w:rsid w:val="00F60404"/>
    <w:rsid w:val="00F60FE2"/>
    <w:rsid w:val="00F615C7"/>
    <w:rsid w:val="00F61EDD"/>
    <w:rsid w:val="00F630D9"/>
    <w:rsid w:val="00F71B3E"/>
    <w:rsid w:val="00F71BC9"/>
    <w:rsid w:val="00F76A6C"/>
    <w:rsid w:val="00F77222"/>
    <w:rsid w:val="00F776D2"/>
    <w:rsid w:val="00F803AC"/>
    <w:rsid w:val="00F80CFF"/>
    <w:rsid w:val="00F816BE"/>
    <w:rsid w:val="00F8306B"/>
    <w:rsid w:val="00F8523E"/>
    <w:rsid w:val="00F85A36"/>
    <w:rsid w:val="00F86729"/>
    <w:rsid w:val="00F869FA"/>
    <w:rsid w:val="00F90B2C"/>
    <w:rsid w:val="00F936E6"/>
    <w:rsid w:val="00F95189"/>
    <w:rsid w:val="00FA0903"/>
    <w:rsid w:val="00FA3488"/>
    <w:rsid w:val="00FA3778"/>
    <w:rsid w:val="00FA49D6"/>
    <w:rsid w:val="00FA4A42"/>
    <w:rsid w:val="00FA4DE9"/>
    <w:rsid w:val="00FA663D"/>
    <w:rsid w:val="00FB3081"/>
    <w:rsid w:val="00FB3B99"/>
    <w:rsid w:val="00FB4069"/>
    <w:rsid w:val="00FB41B7"/>
    <w:rsid w:val="00FB630B"/>
    <w:rsid w:val="00FC1C9E"/>
    <w:rsid w:val="00FC2AF4"/>
    <w:rsid w:val="00FC4C95"/>
    <w:rsid w:val="00FC6794"/>
    <w:rsid w:val="00FC7891"/>
    <w:rsid w:val="00FC792B"/>
    <w:rsid w:val="00FC7EA9"/>
    <w:rsid w:val="00FD047D"/>
    <w:rsid w:val="00FD11E1"/>
    <w:rsid w:val="00FD13AC"/>
    <w:rsid w:val="00FD1C12"/>
    <w:rsid w:val="00FD38A1"/>
    <w:rsid w:val="00FD3FE2"/>
    <w:rsid w:val="00FD45C7"/>
    <w:rsid w:val="00FD4AC3"/>
    <w:rsid w:val="00FD4C4D"/>
    <w:rsid w:val="00FE0037"/>
    <w:rsid w:val="00FE0655"/>
    <w:rsid w:val="00FE09CB"/>
    <w:rsid w:val="00FE1A27"/>
    <w:rsid w:val="00FE4B8B"/>
    <w:rsid w:val="00FE54E7"/>
    <w:rsid w:val="00FE5A22"/>
    <w:rsid w:val="00FE6036"/>
    <w:rsid w:val="00FE7AA1"/>
    <w:rsid w:val="00FF2DA0"/>
    <w:rsid w:val="00FF4D54"/>
    <w:rsid w:val="00FF6BD9"/>
    <w:rsid w:val="012EB991"/>
    <w:rsid w:val="0134483C"/>
    <w:rsid w:val="01B3E6C2"/>
    <w:rsid w:val="01B9A206"/>
    <w:rsid w:val="01DAF0C8"/>
    <w:rsid w:val="0214EC40"/>
    <w:rsid w:val="022DA65F"/>
    <w:rsid w:val="024DD873"/>
    <w:rsid w:val="025456B7"/>
    <w:rsid w:val="02638128"/>
    <w:rsid w:val="028F98BA"/>
    <w:rsid w:val="02B9C86F"/>
    <w:rsid w:val="03095F97"/>
    <w:rsid w:val="032C2CB2"/>
    <w:rsid w:val="034F4D67"/>
    <w:rsid w:val="03512F4C"/>
    <w:rsid w:val="036E4142"/>
    <w:rsid w:val="03820B97"/>
    <w:rsid w:val="038FEA89"/>
    <w:rsid w:val="0393E8CB"/>
    <w:rsid w:val="03CE7747"/>
    <w:rsid w:val="0449FB09"/>
    <w:rsid w:val="045B40AC"/>
    <w:rsid w:val="046DE237"/>
    <w:rsid w:val="0527B9EC"/>
    <w:rsid w:val="05654950"/>
    <w:rsid w:val="05715329"/>
    <w:rsid w:val="06253FA0"/>
    <w:rsid w:val="06289219"/>
    <w:rsid w:val="0663B97F"/>
    <w:rsid w:val="0686EC48"/>
    <w:rsid w:val="06B381EB"/>
    <w:rsid w:val="06B49E7E"/>
    <w:rsid w:val="06BB5643"/>
    <w:rsid w:val="06CA7BF7"/>
    <w:rsid w:val="06CF7B06"/>
    <w:rsid w:val="070EFA09"/>
    <w:rsid w:val="074253B3"/>
    <w:rsid w:val="07CFDE74"/>
    <w:rsid w:val="07D4815B"/>
    <w:rsid w:val="082803BD"/>
    <w:rsid w:val="0841A083"/>
    <w:rsid w:val="0857593F"/>
    <w:rsid w:val="08996C74"/>
    <w:rsid w:val="08A145A8"/>
    <w:rsid w:val="08CF8F2E"/>
    <w:rsid w:val="08DA7BF4"/>
    <w:rsid w:val="08F9FEDF"/>
    <w:rsid w:val="0936FFA6"/>
    <w:rsid w:val="093E2C2C"/>
    <w:rsid w:val="09442079"/>
    <w:rsid w:val="09501EFB"/>
    <w:rsid w:val="0979D540"/>
    <w:rsid w:val="098E129C"/>
    <w:rsid w:val="0990586A"/>
    <w:rsid w:val="09D02DE0"/>
    <w:rsid w:val="09EDB0DC"/>
    <w:rsid w:val="0A03B6F3"/>
    <w:rsid w:val="0A3EE6FB"/>
    <w:rsid w:val="0A483CBC"/>
    <w:rsid w:val="0A6BB70A"/>
    <w:rsid w:val="0A6E6110"/>
    <w:rsid w:val="0AACA338"/>
    <w:rsid w:val="0AC7B924"/>
    <w:rsid w:val="0AF1410A"/>
    <w:rsid w:val="0B09758A"/>
    <w:rsid w:val="0B611921"/>
    <w:rsid w:val="0B62082A"/>
    <w:rsid w:val="0B69BB46"/>
    <w:rsid w:val="0B7E8AE1"/>
    <w:rsid w:val="0BA68F2D"/>
    <w:rsid w:val="0BB74609"/>
    <w:rsid w:val="0BC0FC83"/>
    <w:rsid w:val="0BC5EE23"/>
    <w:rsid w:val="0BDC1346"/>
    <w:rsid w:val="0BE161DD"/>
    <w:rsid w:val="0C1BD553"/>
    <w:rsid w:val="0C727FEA"/>
    <w:rsid w:val="0C8BC6A5"/>
    <w:rsid w:val="0C91BB91"/>
    <w:rsid w:val="0CA9022D"/>
    <w:rsid w:val="0CACD0F7"/>
    <w:rsid w:val="0CB7EE1D"/>
    <w:rsid w:val="0CBC5041"/>
    <w:rsid w:val="0CF2FDB8"/>
    <w:rsid w:val="0D066A10"/>
    <w:rsid w:val="0D4AD6CC"/>
    <w:rsid w:val="0D4B2B2F"/>
    <w:rsid w:val="0D6994B6"/>
    <w:rsid w:val="0DA8F671"/>
    <w:rsid w:val="0E1009B8"/>
    <w:rsid w:val="0E56943E"/>
    <w:rsid w:val="0E5B4139"/>
    <w:rsid w:val="0E6EB473"/>
    <w:rsid w:val="0EBDD16A"/>
    <w:rsid w:val="0ED93042"/>
    <w:rsid w:val="0EF84BD5"/>
    <w:rsid w:val="0F0415EE"/>
    <w:rsid w:val="0F147A38"/>
    <w:rsid w:val="0F5EC3CE"/>
    <w:rsid w:val="0F6D700A"/>
    <w:rsid w:val="0F77DF10"/>
    <w:rsid w:val="0F934934"/>
    <w:rsid w:val="0F9F5F05"/>
    <w:rsid w:val="0FB0BDE4"/>
    <w:rsid w:val="0FB7D89B"/>
    <w:rsid w:val="0FE3812E"/>
    <w:rsid w:val="100C8D5B"/>
    <w:rsid w:val="101F1820"/>
    <w:rsid w:val="1025D22B"/>
    <w:rsid w:val="103461DA"/>
    <w:rsid w:val="103A3026"/>
    <w:rsid w:val="105DE85F"/>
    <w:rsid w:val="108FDAD3"/>
    <w:rsid w:val="10974ADF"/>
    <w:rsid w:val="10A0992B"/>
    <w:rsid w:val="10AD0FEF"/>
    <w:rsid w:val="10BD3028"/>
    <w:rsid w:val="10CE6C26"/>
    <w:rsid w:val="111154AE"/>
    <w:rsid w:val="11156D9F"/>
    <w:rsid w:val="113F70A8"/>
    <w:rsid w:val="11493D50"/>
    <w:rsid w:val="1151FC2D"/>
    <w:rsid w:val="1156FD49"/>
    <w:rsid w:val="117453B5"/>
    <w:rsid w:val="1192530F"/>
    <w:rsid w:val="11EDCE59"/>
    <w:rsid w:val="1203796F"/>
    <w:rsid w:val="120A6249"/>
    <w:rsid w:val="121AC624"/>
    <w:rsid w:val="12306F44"/>
    <w:rsid w:val="126A5C6F"/>
    <w:rsid w:val="128DE242"/>
    <w:rsid w:val="12D74E3A"/>
    <w:rsid w:val="12E133E9"/>
    <w:rsid w:val="133070CA"/>
    <w:rsid w:val="133C18BC"/>
    <w:rsid w:val="133D08C3"/>
    <w:rsid w:val="133F60FF"/>
    <w:rsid w:val="134E8262"/>
    <w:rsid w:val="1350CBA0"/>
    <w:rsid w:val="1360EB62"/>
    <w:rsid w:val="13D48583"/>
    <w:rsid w:val="13EEA202"/>
    <w:rsid w:val="13F6E272"/>
    <w:rsid w:val="1407502D"/>
    <w:rsid w:val="140E2A82"/>
    <w:rsid w:val="1439AA84"/>
    <w:rsid w:val="1477E0E6"/>
    <w:rsid w:val="14783CE5"/>
    <w:rsid w:val="14DFE1F5"/>
    <w:rsid w:val="14E53E2E"/>
    <w:rsid w:val="14EB359D"/>
    <w:rsid w:val="14F9E60A"/>
    <w:rsid w:val="1529EC41"/>
    <w:rsid w:val="154E1A81"/>
    <w:rsid w:val="155D80FB"/>
    <w:rsid w:val="157ED9E0"/>
    <w:rsid w:val="15FBF66A"/>
    <w:rsid w:val="16248740"/>
    <w:rsid w:val="1635B00B"/>
    <w:rsid w:val="16365B8E"/>
    <w:rsid w:val="16932E01"/>
    <w:rsid w:val="16A50C3F"/>
    <w:rsid w:val="16A5A981"/>
    <w:rsid w:val="16D09788"/>
    <w:rsid w:val="16E82634"/>
    <w:rsid w:val="172E8EC2"/>
    <w:rsid w:val="17A5651F"/>
    <w:rsid w:val="17CD2F00"/>
    <w:rsid w:val="17ECF75F"/>
    <w:rsid w:val="18022B83"/>
    <w:rsid w:val="1855B15B"/>
    <w:rsid w:val="1855E298"/>
    <w:rsid w:val="18A7B0A4"/>
    <w:rsid w:val="18B2EECD"/>
    <w:rsid w:val="18B3E4E0"/>
    <w:rsid w:val="19471C9B"/>
    <w:rsid w:val="19512F3C"/>
    <w:rsid w:val="196BD3A2"/>
    <w:rsid w:val="19701A45"/>
    <w:rsid w:val="197071F2"/>
    <w:rsid w:val="1975DA88"/>
    <w:rsid w:val="1992B78B"/>
    <w:rsid w:val="19AC4BB9"/>
    <w:rsid w:val="19C01CC6"/>
    <w:rsid w:val="19DE43C2"/>
    <w:rsid w:val="19E5FE1A"/>
    <w:rsid w:val="19E6E339"/>
    <w:rsid w:val="19F8692F"/>
    <w:rsid w:val="19FC5D64"/>
    <w:rsid w:val="1A54F95C"/>
    <w:rsid w:val="1A60BE1A"/>
    <w:rsid w:val="1A8128BD"/>
    <w:rsid w:val="1AABBA65"/>
    <w:rsid w:val="1AB70E05"/>
    <w:rsid w:val="1ADCF80C"/>
    <w:rsid w:val="1B0947FF"/>
    <w:rsid w:val="1B101759"/>
    <w:rsid w:val="1BE0EDAA"/>
    <w:rsid w:val="1BEB9861"/>
    <w:rsid w:val="1BF137F8"/>
    <w:rsid w:val="1BFDCFF1"/>
    <w:rsid w:val="1C012DF9"/>
    <w:rsid w:val="1C0E4A72"/>
    <w:rsid w:val="1C157BCB"/>
    <w:rsid w:val="1C23AC11"/>
    <w:rsid w:val="1C31FC2C"/>
    <w:rsid w:val="1C423348"/>
    <w:rsid w:val="1C804F51"/>
    <w:rsid w:val="1CA0B46E"/>
    <w:rsid w:val="1CC83F99"/>
    <w:rsid w:val="1CCDCC11"/>
    <w:rsid w:val="1D0751C6"/>
    <w:rsid w:val="1D3ED6AB"/>
    <w:rsid w:val="1D4A312B"/>
    <w:rsid w:val="1D50CC2D"/>
    <w:rsid w:val="1D52B425"/>
    <w:rsid w:val="1D898761"/>
    <w:rsid w:val="1DC78AD3"/>
    <w:rsid w:val="1DF9010A"/>
    <w:rsid w:val="1E01747D"/>
    <w:rsid w:val="1E129B0E"/>
    <w:rsid w:val="1E39642E"/>
    <w:rsid w:val="1E48DC3B"/>
    <w:rsid w:val="1E564106"/>
    <w:rsid w:val="1E8BA9F5"/>
    <w:rsid w:val="1E99CD80"/>
    <w:rsid w:val="1EA3471C"/>
    <w:rsid w:val="1EBE93B0"/>
    <w:rsid w:val="1ED8C00E"/>
    <w:rsid w:val="1F0C9E96"/>
    <w:rsid w:val="1F1250DD"/>
    <w:rsid w:val="1F25225A"/>
    <w:rsid w:val="1F6B547E"/>
    <w:rsid w:val="1FA72ECF"/>
    <w:rsid w:val="1FAE636D"/>
    <w:rsid w:val="1FB3B39F"/>
    <w:rsid w:val="1FD815C9"/>
    <w:rsid w:val="1FF6B61A"/>
    <w:rsid w:val="2007B181"/>
    <w:rsid w:val="200A2027"/>
    <w:rsid w:val="20227576"/>
    <w:rsid w:val="20331CAE"/>
    <w:rsid w:val="203B38CB"/>
    <w:rsid w:val="20407DED"/>
    <w:rsid w:val="2058B284"/>
    <w:rsid w:val="2070326F"/>
    <w:rsid w:val="20A999C4"/>
    <w:rsid w:val="20AB9FFB"/>
    <w:rsid w:val="20B0179F"/>
    <w:rsid w:val="20B66705"/>
    <w:rsid w:val="20C76054"/>
    <w:rsid w:val="20CA5939"/>
    <w:rsid w:val="21063F29"/>
    <w:rsid w:val="210D5A33"/>
    <w:rsid w:val="212B3A93"/>
    <w:rsid w:val="216AFAE6"/>
    <w:rsid w:val="2178F8D1"/>
    <w:rsid w:val="218190CC"/>
    <w:rsid w:val="21824FF4"/>
    <w:rsid w:val="218AC6B1"/>
    <w:rsid w:val="2190219F"/>
    <w:rsid w:val="2196FEFE"/>
    <w:rsid w:val="21B2F560"/>
    <w:rsid w:val="21D1887F"/>
    <w:rsid w:val="21DED5F6"/>
    <w:rsid w:val="2243F189"/>
    <w:rsid w:val="226513C4"/>
    <w:rsid w:val="2266BC8A"/>
    <w:rsid w:val="2269EBFE"/>
    <w:rsid w:val="229BFEBF"/>
    <w:rsid w:val="22B90BA6"/>
    <w:rsid w:val="231B7DB9"/>
    <w:rsid w:val="231BAC2E"/>
    <w:rsid w:val="2357CBB1"/>
    <w:rsid w:val="235AFE6C"/>
    <w:rsid w:val="2365E565"/>
    <w:rsid w:val="23C14D8F"/>
    <w:rsid w:val="23DCD1A3"/>
    <w:rsid w:val="24030BDA"/>
    <w:rsid w:val="2431D8A7"/>
    <w:rsid w:val="2446C0B2"/>
    <w:rsid w:val="2452FDF3"/>
    <w:rsid w:val="2470FF4D"/>
    <w:rsid w:val="2494F732"/>
    <w:rsid w:val="24A4647F"/>
    <w:rsid w:val="24F4DDFD"/>
    <w:rsid w:val="24F77758"/>
    <w:rsid w:val="25031529"/>
    <w:rsid w:val="250D8FB7"/>
    <w:rsid w:val="25192CB2"/>
    <w:rsid w:val="253396B0"/>
    <w:rsid w:val="25425627"/>
    <w:rsid w:val="25738DC6"/>
    <w:rsid w:val="258554F9"/>
    <w:rsid w:val="2586DF44"/>
    <w:rsid w:val="2588BB01"/>
    <w:rsid w:val="259D19CA"/>
    <w:rsid w:val="25A333E8"/>
    <w:rsid w:val="25CA1102"/>
    <w:rsid w:val="25D1AD72"/>
    <w:rsid w:val="25D6F707"/>
    <w:rsid w:val="26005CAA"/>
    <w:rsid w:val="26103A24"/>
    <w:rsid w:val="2669D6C4"/>
    <w:rsid w:val="269B4038"/>
    <w:rsid w:val="26A14234"/>
    <w:rsid w:val="26AF326C"/>
    <w:rsid w:val="2719E68F"/>
    <w:rsid w:val="275EF1D9"/>
    <w:rsid w:val="2776EE4F"/>
    <w:rsid w:val="2784C42A"/>
    <w:rsid w:val="27B0B4AE"/>
    <w:rsid w:val="27D27CC3"/>
    <w:rsid w:val="280EA893"/>
    <w:rsid w:val="2871C5A7"/>
    <w:rsid w:val="287F7C65"/>
    <w:rsid w:val="288407AB"/>
    <w:rsid w:val="28B3330D"/>
    <w:rsid w:val="28BE6C11"/>
    <w:rsid w:val="28CF41A4"/>
    <w:rsid w:val="28DB879F"/>
    <w:rsid w:val="28E2AAB0"/>
    <w:rsid w:val="28FB19B5"/>
    <w:rsid w:val="2906503B"/>
    <w:rsid w:val="291286FC"/>
    <w:rsid w:val="29185624"/>
    <w:rsid w:val="291B30A7"/>
    <w:rsid w:val="2920059D"/>
    <w:rsid w:val="2930BBF3"/>
    <w:rsid w:val="29384B69"/>
    <w:rsid w:val="2939347D"/>
    <w:rsid w:val="29539E3B"/>
    <w:rsid w:val="2957BC6F"/>
    <w:rsid w:val="295A37AF"/>
    <w:rsid w:val="296CFC52"/>
    <w:rsid w:val="29BA3B16"/>
    <w:rsid w:val="29C82B89"/>
    <w:rsid w:val="2A06E81B"/>
    <w:rsid w:val="2A4FA9E9"/>
    <w:rsid w:val="2A5CA4B9"/>
    <w:rsid w:val="2A875C4C"/>
    <w:rsid w:val="2AA6E293"/>
    <w:rsid w:val="2AA9C944"/>
    <w:rsid w:val="2AAB4361"/>
    <w:rsid w:val="2ABBCF2D"/>
    <w:rsid w:val="2AC59B97"/>
    <w:rsid w:val="2ACFE49B"/>
    <w:rsid w:val="2AD3C0A6"/>
    <w:rsid w:val="2AE497C1"/>
    <w:rsid w:val="2AF4D7A4"/>
    <w:rsid w:val="2AFE04B4"/>
    <w:rsid w:val="2B9C778E"/>
    <w:rsid w:val="2BEAD3CF"/>
    <w:rsid w:val="2C6FBCDF"/>
    <w:rsid w:val="2C7085CB"/>
    <w:rsid w:val="2CAB7AB5"/>
    <w:rsid w:val="2CD3F706"/>
    <w:rsid w:val="2D080533"/>
    <w:rsid w:val="2D237036"/>
    <w:rsid w:val="2D2945D9"/>
    <w:rsid w:val="2D2EBA79"/>
    <w:rsid w:val="2D38F66D"/>
    <w:rsid w:val="2D4C5759"/>
    <w:rsid w:val="2D50984D"/>
    <w:rsid w:val="2D5551FA"/>
    <w:rsid w:val="2D585D14"/>
    <w:rsid w:val="2D87AB26"/>
    <w:rsid w:val="2D927242"/>
    <w:rsid w:val="2DA0FA18"/>
    <w:rsid w:val="2DBAC319"/>
    <w:rsid w:val="2DDFB441"/>
    <w:rsid w:val="2E08C805"/>
    <w:rsid w:val="2E4A75F6"/>
    <w:rsid w:val="2E53EDF0"/>
    <w:rsid w:val="2E6EDE74"/>
    <w:rsid w:val="2E73118C"/>
    <w:rsid w:val="2E7764C2"/>
    <w:rsid w:val="2E8ADDAA"/>
    <w:rsid w:val="2E9F3C5A"/>
    <w:rsid w:val="2EB128C5"/>
    <w:rsid w:val="2EDA90C7"/>
    <w:rsid w:val="2EFF2546"/>
    <w:rsid w:val="2F039726"/>
    <w:rsid w:val="2F4D982D"/>
    <w:rsid w:val="2F977923"/>
    <w:rsid w:val="2F9D40E0"/>
    <w:rsid w:val="2FADAEA1"/>
    <w:rsid w:val="2FD3333F"/>
    <w:rsid w:val="304F25BA"/>
    <w:rsid w:val="3055E1F4"/>
    <w:rsid w:val="30673C6B"/>
    <w:rsid w:val="3072172A"/>
    <w:rsid w:val="30A0D2BC"/>
    <w:rsid w:val="30A6733A"/>
    <w:rsid w:val="30B5026B"/>
    <w:rsid w:val="30C61022"/>
    <w:rsid w:val="30D112BF"/>
    <w:rsid w:val="30E0E135"/>
    <w:rsid w:val="30ECE464"/>
    <w:rsid w:val="30FFFDE9"/>
    <w:rsid w:val="315D10E1"/>
    <w:rsid w:val="316AB042"/>
    <w:rsid w:val="317E5917"/>
    <w:rsid w:val="319699C0"/>
    <w:rsid w:val="319DCCE5"/>
    <w:rsid w:val="31A97393"/>
    <w:rsid w:val="31D32B95"/>
    <w:rsid w:val="31EB293C"/>
    <w:rsid w:val="3208FE3D"/>
    <w:rsid w:val="3221D83A"/>
    <w:rsid w:val="3240ECF6"/>
    <w:rsid w:val="326B1BAD"/>
    <w:rsid w:val="32787957"/>
    <w:rsid w:val="3292FE12"/>
    <w:rsid w:val="32AE4765"/>
    <w:rsid w:val="32C5D178"/>
    <w:rsid w:val="32E02034"/>
    <w:rsid w:val="32F2C33C"/>
    <w:rsid w:val="3320B91F"/>
    <w:rsid w:val="332EA012"/>
    <w:rsid w:val="336449B1"/>
    <w:rsid w:val="336A82FF"/>
    <w:rsid w:val="3375BBF3"/>
    <w:rsid w:val="33794C51"/>
    <w:rsid w:val="3385EB0E"/>
    <w:rsid w:val="3397401C"/>
    <w:rsid w:val="33AA0B59"/>
    <w:rsid w:val="33B0DC89"/>
    <w:rsid w:val="33BB0D37"/>
    <w:rsid w:val="33E6CD75"/>
    <w:rsid w:val="344681BE"/>
    <w:rsid w:val="34549DED"/>
    <w:rsid w:val="348DBC3D"/>
    <w:rsid w:val="3498C462"/>
    <w:rsid w:val="349B33CD"/>
    <w:rsid w:val="34B0FCF1"/>
    <w:rsid w:val="3550744A"/>
    <w:rsid w:val="35741263"/>
    <w:rsid w:val="3590478B"/>
    <w:rsid w:val="35CD6004"/>
    <w:rsid w:val="35F2A653"/>
    <w:rsid w:val="36059369"/>
    <w:rsid w:val="361BA2CB"/>
    <w:rsid w:val="366C27FE"/>
    <w:rsid w:val="36A7D154"/>
    <w:rsid w:val="36F2B306"/>
    <w:rsid w:val="36F8604F"/>
    <w:rsid w:val="373B46A4"/>
    <w:rsid w:val="3744B8DE"/>
    <w:rsid w:val="374B701B"/>
    <w:rsid w:val="377A52C0"/>
    <w:rsid w:val="3793E8BB"/>
    <w:rsid w:val="37A87B49"/>
    <w:rsid w:val="37B035AF"/>
    <w:rsid w:val="37CC67C3"/>
    <w:rsid w:val="3808DE61"/>
    <w:rsid w:val="381408DC"/>
    <w:rsid w:val="3820B04D"/>
    <w:rsid w:val="3833F29D"/>
    <w:rsid w:val="38381AA4"/>
    <w:rsid w:val="38473611"/>
    <w:rsid w:val="3849E392"/>
    <w:rsid w:val="385FF5C4"/>
    <w:rsid w:val="386D55D0"/>
    <w:rsid w:val="389E101D"/>
    <w:rsid w:val="38C1B2F9"/>
    <w:rsid w:val="38DF4B37"/>
    <w:rsid w:val="38EAB1D2"/>
    <w:rsid w:val="38EDC68E"/>
    <w:rsid w:val="3904193A"/>
    <w:rsid w:val="390DFFD5"/>
    <w:rsid w:val="391D17C1"/>
    <w:rsid w:val="391E1B15"/>
    <w:rsid w:val="391F3D89"/>
    <w:rsid w:val="3932611B"/>
    <w:rsid w:val="394C8163"/>
    <w:rsid w:val="395EB2C6"/>
    <w:rsid w:val="3986182D"/>
    <w:rsid w:val="39A46D99"/>
    <w:rsid w:val="39C7CCF1"/>
    <w:rsid w:val="39DB0015"/>
    <w:rsid w:val="3A1607F7"/>
    <w:rsid w:val="3A4830E1"/>
    <w:rsid w:val="3A5D6735"/>
    <w:rsid w:val="3A66445C"/>
    <w:rsid w:val="3A8F3CF4"/>
    <w:rsid w:val="3A90A24F"/>
    <w:rsid w:val="3AFFDBC6"/>
    <w:rsid w:val="3B0BCDCB"/>
    <w:rsid w:val="3B0E1F6C"/>
    <w:rsid w:val="3B0FDA56"/>
    <w:rsid w:val="3B1651F9"/>
    <w:rsid w:val="3B1F6D1F"/>
    <w:rsid w:val="3B3E0669"/>
    <w:rsid w:val="3B4162E1"/>
    <w:rsid w:val="3B428FCB"/>
    <w:rsid w:val="3B51AD6C"/>
    <w:rsid w:val="3B51F408"/>
    <w:rsid w:val="3B55531E"/>
    <w:rsid w:val="3B67DCA8"/>
    <w:rsid w:val="3B89A197"/>
    <w:rsid w:val="3B95F170"/>
    <w:rsid w:val="3B9BCBA7"/>
    <w:rsid w:val="3BB7CE09"/>
    <w:rsid w:val="3BC60FE6"/>
    <w:rsid w:val="3BC7FA70"/>
    <w:rsid w:val="3BD48F8F"/>
    <w:rsid w:val="3BED825F"/>
    <w:rsid w:val="3C12F7FD"/>
    <w:rsid w:val="3C2F71D4"/>
    <w:rsid w:val="3C4716DB"/>
    <w:rsid w:val="3C85C722"/>
    <w:rsid w:val="3CFD4A8E"/>
    <w:rsid w:val="3D2E2800"/>
    <w:rsid w:val="3D45D513"/>
    <w:rsid w:val="3D652139"/>
    <w:rsid w:val="3D7C5D86"/>
    <w:rsid w:val="3D7DE8A3"/>
    <w:rsid w:val="3DE3FCA5"/>
    <w:rsid w:val="3DEBCA2A"/>
    <w:rsid w:val="3E38CE61"/>
    <w:rsid w:val="3E8C4F90"/>
    <w:rsid w:val="3E9C2AA2"/>
    <w:rsid w:val="3EB19944"/>
    <w:rsid w:val="3EB8C9A2"/>
    <w:rsid w:val="3EC1C4A7"/>
    <w:rsid w:val="3EDF9587"/>
    <w:rsid w:val="3F0D10C5"/>
    <w:rsid w:val="3F226354"/>
    <w:rsid w:val="3F5E7CD6"/>
    <w:rsid w:val="3F5F2BAA"/>
    <w:rsid w:val="3F72069B"/>
    <w:rsid w:val="3F727648"/>
    <w:rsid w:val="3F74D2A6"/>
    <w:rsid w:val="3FA84018"/>
    <w:rsid w:val="3FAE7169"/>
    <w:rsid w:val="3FBC278E"/>
    <w:rsid w:val="3FBE967C"/>
    <w:rsid w:val="3FC3B0FB"/>
    <w:rsid w:val="3FC77D4C"/>
    <w:rsid w:val="3FD8323B"/>
    <w:rsid w:val="3FF5E841"/>
    <w:rsid w:val="40012F2F"/>
    <w:rsid w:val="4017D278"/>
    <w:rsid w:val="402B2D7D"/>
    <w:rsid w:val="4034090F"/>
    <w:rsid w:val="407033F4"/>
    <w:rsid w:val="407C0B46"/>
    <w:rsid w:val="4089D02F"/>
    <w:rsid w:val="408AC367"/>
    <w:rsid w:val="409A85B6"/>
    <w:rsid w:val="40B63A64"/>
    <w:rsid w:val="4141CB59"/>
    <w:rsid w:val="416139CC"/>
    <w:rsid w:val="41899E01"/>
    <w:rsid w:val="41A629F3"/>
    <w:rsid w:val="41CCC2AF"/>
    <w:rsid w:val="41E75441"/>
    <w:rsid w:val="41FD339A"/>
    <w:rsid w:val="422D0CC4"/>
    <w:rsid w:val="425833ED"/>
    <w:rsid w:val="425DB7BF"/>
    <w:rsid w:val="426602F5"/>
    <w:rsid w:val="4276DF75"/>
    <w:rsid w:val="427BF111"/>
    <w:rsid w:val="42BB9D77"/>
    <w:rsid w:val="42BC9197"/>
    <w:rsid w:val="42C224C5"/>
    <w:rsid w:val="42C3C6D9"/>
    <w:rsid w:val="42C40847"/>
    <w:rsid w:val="42E69F70"/>
    <w:rsid w:val="43161B48"/>
    <w:rsid w:val="4318DC27"/>
    <w:rsid w:val="4328B358"/>
    <w:rsid w:val="435108A2"/>
    <w:rsid w:val="4359B2DE"/>
    <w:rsid w:val="43C25ED0"/>
    <w:rsid w:val="43DE9AB2"/>
    <w:rsid w:val="43E16742"/>
    <w:rsid w:val="43EE653C"/>
    <w:rsid w:val="43F59DDB"/>
    <w:rsid w:val="43FB56D2"/>
    <w:rsid w:val="4426D642"/>
    <w:rsid w:val="447170B6"/>
    <w:rsid w:val="44902AAE"/>
    <w:rsid w:val="44A8494C"/>
    <w:rsid w:val="44AAECAA"/>
    <w:rsid w:val="44C37417"/>
    <w:rsid w:val="44DB3582"/>
    <w:rsid w:val="44DC309E"/>
    <w:rsid w:val="44F195FA"/>
    <w:rsid w:val="4523CCAD"/>
    <w:rsid w:val="4558868A"/>
    <w:rsid w:val="456CEF10"/>
    <w:rsid w:val="4588B348"/>
    <w:rsid w:val="458D3020"/>
    <w:rsid w:val="459FCF89"/>
    <w:rsid w:val="45CA217B"/>
    <w:rsid w:val="45ED380A"/>
    <w:rsid w:val="46012E17"/>
    <w:rsid w:val="4613FC71"/>
    <w:rsid w:val="461B7D74"/>
    <w:rsid w:val="4654265E"/>
    <w:rsid w:val="4660BCD7"/>
    <w:rsid w:val="46B9958E"/>
    <w:rsid w:val="46BA2C9C"/>
    <w:rsid w:val="46CA8DD6"/>
    <w:rsid w:val="46EFC484"/>
    <w:rsid w:val="470D609F"/>
    <w:rsid w:val="471B8C13"/>
    <w:rsid w:val="471D6BD0"/>
    <w:rsid w:val="4783F9CC"/>
    <w:rsid w:val="4786636D"/>
    <w:rsid w:val="47A4BB44"/>
    <w:rsid w:val="47DADDD0"/>
    <w:rsid w:val="47F1D287"/>
    <w:rsid w:val="4815D524"/>
    <w:rsid w:val="481EBA71"/>
    <w:rsid w:val="4829C544"/>
    <w:rsid w:val="482ADC73"/>
    <w:rsid w:val="4836E9A9"/>
    <w:rsid w:val="4885A249"/>
    <w:rsid w:val="488F3B76"/>
    <w:rsid w:val="49288439"/>
    <w:rsid w:val="49B39D14"/>
    <w:rsid w:val="49CD434D"/>
    <w:rsid w:val="49D81EBC"/>
    <w:rsid w:val="4A0A6FFC"/>
    <w:rsid w:val="4A21BE03"/>
    <w:rsid w:val="4A37566E"/>
    <w:rsid w:val="4A4A6C74"/>
    <w:rsid w:val="4A59B8E6"/>
    <w:rsid w:val="4A822810"/>
    <w:rsid w:val="4ABF061B"/>
    <w:rsid w:val="4AD2280F"/>
    <w:rsid w:val="4AFF00FE"/>
    <w:rsid w:val="4B01FC00"/>
    <w:rsid w:val="4B0ECFE8"/>
    <w:rsid w:val="4B49CCEB"/>
    <w:rsid w:val="4B577254"/>
    <w:rsid w:val="4B59403D"/>
    <w:rsid w:val="4B7248C2"/>
    <w:rsid w:val="4B7C4DDE"/>
    <w:rsid w:val="4B8713FB"/>
    <w:rsid w:val="4B9DE2F7"/>
    <w:rsid w:val="4BA263AA"/>
    <w:rsid w:val="4BE0B688"/>
    <w:rsid w:val="4BE226F9"/>
    <w:rsid w:val="4BF1A109"/>
    <w:rsid w:val="4BF6D15F"/>
    <w:rsid w:val="4C5E05D4"/>
    <w:rsid w:val="4C8E7DDB"/>
    <w:rsid w:val="4C995092"/>
    <w:rsid w:val="4C9FFBA4"/>
    <w:rsid w:val="4CD38777"/>
    <w:rsid w:val="4CDD12FC"/>
    <w:rsid w:val="4CF6D2D2"/>
    <w:rsid w:val="4D12D5BF"/>
    <w:rsid w:val="4D2108F1"/>
    <w:rsid w:val="4D2ED80B"/>
    <w:rsid w:val="4D9CB3E9"/>
    <w:rsid w:val="4DB019E9"/>
    <w:rsid w:val="4DF9B5F0"/>
    <w:rsid w:val="4DFD4DDB"/>
    <w:rsid w:val="4E280A06"/>
    <w:rsid w:val="4E821FCC"/>
    <w:rsid w:val="4EA5FED7"/>
    <w:rsid w:val="4EDEDBF9"/>
    <w:rsid w:val="4F0615D3"/>
    <w:rsid w:val="4F49D9F9"/>
    <w:rsid w:val="4F6D94F6"/>
    <w:rsid w:val="4F8DA690"/>
    <w:rsid w:val="4FA01181"/>
    <w:rsid w:val="4FA656EA"/>
    <w:rsid w:val="4FCDF2D0"/>
    <w:rsid w:val="4FFE2FC9"/>
    <w:rsid w:val="50147FC0"/>
    <w:rsid w:val="5021C533"/>
    <w:rsid w:val="502596C8"/>
    <w:rsid w:val="5044515A"/>
    <w:rsid w:val="5053B486"/>
    <w:rsid w:val="5076687A"/>
    <w:rsid w:val="508D1CB4"/>
    <w:rsid w:val="5094391B"/>
    <w:rsid w:val="50D05FF6"/>
    <w:rsid w:val="50D959D2"/>
    <w:rsid w:val="50DE07B8"/>
    <w:rsid w:val="50F90F55"/>
    <w:rsid w:val="510B053A"/>
    <w:rsid w:val="51110659"/>
    <w:rsid w:val="51225ABA"/>
    <w:rsid w:val="51397C5D"/>
    <w:rsid w:val="513D6311"/>
    <w:rsid w:val="514E3C04"/>
    <w:rsid w:val="518CB644"/>
    <w:rsid w:val="51C09E89"/>
    <w:rsid w:val="51D29279"/>
    <w:rsid w:val="52009402"/>
    <w:rsid w:val="52168695"/>
    <w:rsid w:val="52424D49"/>
    <w:rsid w:val="5257DCE0"/>
    <w:rsid w:val="525A7B53"/>
    <w:rsid w:val="5293FD95"/>
    <w:rsid w:val="529FA79E"/>
    <w:rsid w:val="529FDBF6"/>
    <w:rsid w:val="52B20B09"/>
    <w:rsid w:val="52CE8AC9"/>
    <w:rsid w:val="52F1387C"/>
    <w:rsid w:val="5300C438"/>
    <w:rsid w:val="531B99F5"/>
    <w:rsid w:val="532BCB4B"/>
    <w:rsid w:val="5336D598"/>
    <w:rsid w:val="536425B5"/>
    <w:rsid w:val="5377E060"/>
    <w:rsid w:val="53AE0C82"/>
    <w:rsid w:val="53B427FE"/>
    <w:rsid w:val="540BB01D"/>
    <w:rsid w:val="5410572F"/>
    <w:rsid w:val="5415BBEF"/>
    <w:rsid w:val="54663B47"/>
    <w:rsid w:val="5469387C"/>
    <w:rsid w:val="5481FF5A"/>
    <w:rsid w:val="54A974E9"/>
    <w:rsid w:val="54C86AAE"/>
    <w:rsid w:val="54C8ED95"/>
    <w:rsid w:val="54CB5A9C"/>
    <w:rsid w:val="54D80825"/>
    <w:rsid w:val="5576A79D"/>
    <w:rsid w:val="55A9B1AF"/>
    <w:rsid w:val="55AF5185"/>
    <w:rsid w:val="55C16F49"/>
    <w:rsid w:val="55DE20A8"/>
    <w:rsid w:val="55DF9244"/>
    <w:rsid w:val="55E48B9B"/>
    <w:rsid w:val="560BBC3C"/>
    <w:rsid w:val="561E74CF"/>
    <w:rsid w:val="562B71B2"/>
    <w:rsid w:val="565500D8"/>
    <w:rsid w:val="565576D3"/>
    <w:rsid w:val="565F29C8"/>
    <w:rsid w:val="5695F935"/>
    <w:rsid w:val="56ACE432"/>
    <w:rsid w:val="56BAD144"/>
    <w:rsid w:val="56C766B8"/>
    <w:rsid w:val="56DC9ABD"/>
    <w:rsid w:val="56E96F35"/>
    <w:rsid w:val="56F20BEA"/>
    <w:rsid w:val="5710E5E7"/>
    <w:rsid w:val="571A77ED"/>
    <w:rsid w:val="5751F4A4"/>
    <w:rsid w:val="5764AF09"/>
    <w:rsid w:val="578350E3"/>
    <w:rsid w:val="57A0BA48"/>
    <w:rsid w:val="57EEA863"/>
    <w:rsid w:val="581E2B43"/>
    <w:rsid w:val="58244E2B"/>
    <w:rsid w:val="58350320"/>
    <w:rsid w:val="583B6A38"/>
    <w:rsid w:val="5859887A"/>
    <w:rsid w:val="588D140A"/>
    <w:rsid w:val="589CFF71"/>
    <w:rsid w:val="58B8D34D"/>
    <w:rsid w:val="58D8E9CB"/>
    <w:rsid w:val="58E471D9"/>
    <w:rsid w:val="58F32F7F"/>
    <w:rsid w:val="591151C2"/>
    <w:rsid w:val="592D66C3"/>
    <w:rsid w:val="593C725A"/>
    <w:rsid w:val="5969B92F"/>
    <w:rsid w:val="59C580B8"/>
    <w:rsid w:val="5A03BF93"/>
    <w:rsid w:val="5A2A65E8"/>
    <w:rsid w:val="5A4B7C1B"/>
    <w:rsid w:val="5A519D0C"/>
    <w:rsid w:val="5A694BBE"/>
    <w:rsid w:val="5A7DFBD3"/>
    <w:rsid w:val="5AAB3A9D"/>
    <w:rsid w:val="5AB45FEF"/>
    <w:rsid w:val="5AC9AE1B"/>
    <w:rsid w:val="5AED4A58"/>
    <w:rsid w:val="5AF48189"/>
    <w:rsid w:val="5AF674B0"/>
    <w:rsid w:val="5B0AE9BA"/>
    <w:rsid w:val="5B1A28FE"/>
    <w:rsid w:val="5B33C2C4"/>
    <w:rsid w:val="5B36B877"/>
    <w:rsid w:val="5B45BE1B"/>
    <w:rsid w:val="5B495D4F"/>
    <w:rsid w:val="5B733BCC"/>
    <w:rsid w:val="5B81AB27"/>
    <w:rsid w:val="5B86D626"/>
    <w:rsid w:val="5B90A53D"/>
    <w:rsid w:val="5BB36A7F"/>
    <w:rsid w:val="5BFDCF01"/>
    <w:rsid w:val="5C0EFC67"/>
    <w:rsid w:val="5C2385BF"/>
    <w:rsid w:val="5C3BB96E"/>
    <w:rsid w:val="5C630979"/>
    <w:rsid w:val="5C90114B"/>
    <w:rsid w:val="5C938559"/>
    <w:rsid w:val="5CA97BEF"/>
    <w:rsid w:val="5CC5A2A6"/>
    <w:rsid w:val="5CD4AC47"/>
    <w:rsid w:val="5CF4632B"/>
    <w:rsid w:val="5D006532"/>
    <w:rsid w:val="5D377015"/>
    <w:rsid w:val="5D959C74"/>
    <w:rsid w:val="5E122A44"/>
    <w:rsid w:val="5E45F976"/>
    <w:rsid w:val="5EA1F8A0"/>
    <w:rsid w:val="5ECD9A93"/>
    <w:rsid w:val="5ED3816D"/>
    <w:rsid w:val="5F1B982E"/>
    <w:rsid w:val="5F2B54A5"/>
    <w:rsid w:val="5F2E380D"/>
    <w:rsid w:val="5F43585D"/>
    <w:rsid w:val="5F5EC9C1"/>
    <w:rsid w:val="5F9E4EB2"/>
    <w:rsid w:val="5FA59E7E"/>
    <w:rsid w:val="5FCC0BE0"/>
    <w:rsid w:val="5FCC998D"/>
    <w:rsid w:val="5FD099FB"/>
    <w:rsid w:val="5FD9EB88"/>
    <w:rsid w:val="6000A610"/>
    <w:rsid w:val="600C4C08"/>
    <w:rsid w:val="601F9009"/>
    <w:rsid w:val="605E066F"/>
    <w:rsid w:val="60680366"/>
    <w:rsid w:val="608EAE4C"/>
    <w:rsid w:val="60A1AF2E"/>
    <w:rsid w:val="60B6DB83"/>
    <w:rsid w:val="60E7BFF0"/>
    <w:rsid w:val="61042613"/>
    <w:rsid w:val="6113CDB3"/>
    <w:rsid w:val="61419BA7"/>
    <w:rsid w:val="614EDEC1"/>
    <w:rsid w:val="6174666D"/>
    <w:rsid w:val="61F9EE30"/>
    <w:rsid w:val="624A494C"/>
    <w:rsid w:val="625A7C3D"/>
    <w:rsid w:val="625CAD4B"/>
    <w:rsid w:val="628A9C51"/>
    <w:rsid w:val="62D42325"/>
    <w:rsid w:val="62D58A4A"/>
    <w:rsid w:val="62F5A9C1"/>
    <w:rsid w:val="630A025B"/>
    <w:rsid w:val="63168288"/>
    <w:rsid w:val="63189ECC"/>
    <w:rsid w:val="631BC5EC"/>
    <w:rsid w:val="6320FAAD"/>
    <w:rsid w:val="639B7813"/>
    <w:rsid w:val="63A6E2EB"/>
    <w:rsid w:val="63CFB25F"/>
    <w:rsid w:val="63E3D73F"/>
    <w:rsid w:val="64031470"/>
    <w:rsid w:val="642B51C1"/>
    <w:rsid w:val="64688D64"/>
    <w:rsid w:val="64689B2B"/>
    <w:rsid w:val="646DDAFE"/>
    <w:rsid w:val="64863314"/>
    <w:rsid w:val="64B034D0"/>
    <w:rsid w:val="64C66254"/>
    <w:rsid w:val="64CE84FA"/>
    <w:rsid w:val="64D6319F"/>
    <w:rsid w:val="65469910"/>
    <w:rsid w:val="656F394D"/>
    <w:rsid w:val="658B5C8A"/>
    <w:rsid w:val="658FDE03"/>
    <w:rsid w:val="65956139"/>
    <w:rsid w:val="65A8A580"/>
    <w:rsid w:val="65C3026F"/>
    <w:rsid w:val="65DB6669"/>
    <w:rsid w:val="6646A01B"/>
    <w:rsid w:val="666B9D00"/>
    <w:rsid w:val="6689D768"/>
    <w:rsid w:val="6693B47D"/>
    <w:rsid w:val="66BC6DE6"/>
    <w:rsid w:val="66CFD040"/>
    <w:rsid w:val="66E68946"/>
    <w:rsid w:val="66EE325F"/>
    <w:rsid w:val="66F78215"/>
    <w:rsid w:val="66F91CE1"/>
    <w:rsid w:val="6716264C"/>
    <w:rsid w:val="6757DBDF"/>
    <w:rsid w:val="67635FE9"/>
    <w:rsid w:val="677F2BDA"/>
    <w:rsid w:val="67A272B9"/>
    <w:rsid w:val="67D1AB7F"/>
    <w:rsid w:val="67DA150D"/>
    <w:rsid w:val="67DB6924"/>
    <w:rsid w:val="68110B4A"/>
    <w:rsid w:val="681CE96F"/>
    <w:rsid w:val="681F4EEA"/>
    <w:rsid w:val="68230720"/>
    <w:rsid w:val="682F84DE"/>
    <w:rsid w:val="6857824F"/>
    <w:rsid w:val="6870176D"/>
    <w:rsid w:val="68A0477D"/>
    <w:rsid w:val="68A30E81"/>
    <w:rsid w:val="68D9A5E8"/>
    <w:rsid w:val="690E1014"/>
    <w:rsid w:val="69206B22"/>
    <w:rsid w:val="692BD9B2"/>
    <w:rsid w:val="6943B6CA"/>
    <w:rsid w:val="69697723"/>
    <w:rsid w:val="697613AB"/>
    <w:rsid w:val="6982C000"/>
    <w:rsid w:val="69A394AA"/>
    <w:rsid w:val="69BCCAF1"/>
    <w:rsid w:val="69BCEBC0"/>
    <w:rsid w:val="6A1CB5A4"/>
    <w:rsid w:val="6A323FEB"/>
    <w:rsid w:val="6A61990D"/>
    <w:rsid w:val="6A760D85"/>
    <w:rsid w:val="6A8946D5"/>
    <w:rsid w:val="6A91DFFC"/>
    <w:rsid w:val="6AA464ED"/>
    <w:rsid w:val="6AA72B91"/>
    <w:rsid w:val="6ABB98F5"/>
    <w:rsid w:val="6ADCCC41"/>
    <w:rsid w:val="6AE6E9A8"/>
    <w:rsid w:val="6B021BB5"/>
    <w:rsid w:val="6B5D7D1B"/>
    <w:rsid w:val="6B67D815"/>
    <w:rsid w:val="6B8CC4DF"/>
    <w:rsid w:val="6B93D66E"/>
    <w:rsid w:val="6BBCDADE"/>
    <w:rsid w:val="6BEB5E87"/>
    <w:rsid w:val="6BF40960"/>
    <w:rsid w:val="6C172A07"/>
    <w:rsid w:val="6C35DABF"/>
    <w:rsid w:val="6C56648F"/>
    <w:rsid w:val="6C7B578C"/>
    <w:rsid w:val="6CB9CFD9"/>
    <w:rsid w:val="6CE8F0EF"/>
    <w:rsid w:val="6D10853A"/>
    <w:rsid w:val="6D1A6D2D"/>
    <w:rsid w:val="6D1C1925"/>
    <w:rsid w:val="6D2C8132"/>
    <w:rsid w:val="6D4452C2"/>
    <w:rsid w:val="6D50EB00"/>
    <w:rsid w:val="6D63FD4F"/>
    <w:rsid w:val="6D6E054C"/>
    <w:rsid w:val="6D8A35A1"/>
    <w:rsid w:val="6D9B6BA0"/>
    <w:rsid w:val="6E18EE88"/>
    <w:rsid w:val="6E31A222"/>
    <w:rsid w:val="6E44BCEA"/>
    <w:rsid w:val="6E5FECF9"/>
    <w:rsid w:val="6E6A121E"/>
    <w:rsid w:val="6E7363FA"/>
    <w:rsid w:val="6E76BAB3"/>
    <w:rsid w:val="6E77C950"/>
    <w:rsid w:val="6ECD2F18"/>
    <w:rsid w:val="6ED34F78"/>
    <w:rsid w:val="6EDF7DB5"/>
    <w:rsid w:val="6EFB6113"/>
    <w:rsid w:val="6F120372"/>
    <w:rsid w:val="6F30B5CD"/>
    <w:rsid w:val="6F3B2D18"/>
    <w:rsid w:val="6F5F96CA"/>
    <w:rsid w:val="6F627F44"/>
    <w:rsid w:val="6F8F4413"/>
    <w:rsid w:val="6F97E127"/>
    <w:rsid w:val="6FC20EAA"/>
    <w:rsid w:val="6FC4E377"/>
    <w:rsid w:val="6FC76954"/>
    <w:rsid w:val="700561FB"/>
    <w:rsid w:val="7034D814"/>
    <w:rsid w:val="703E908B"/>
    <w:rsid w:val="704C6D48"/>
    <w:rsid w:val="70504AF9"/>
    <w:rsid w:val="70522F7B"/>
    <w:rsid w:val="7085AFAF"/>
    <w:rsid w:val="70876E70"/>
    <w:rsid w:val="70925874"/>
    <w:rsid w:val="7092C39E"/>
    <w:rsid w:val="70B80808"/>
    <w:rsid w:val="71170DEF"/>
    <w:rsid w:val="7152BD17"/>
    <w:rsid w:val="7199226A"/>
    <w:rsid w:val="71B794D9"/>
    <w:rsid w:val="72210E75"/>
    <w:rsid w:val="72303BEB"/>
    <w:rsid w:val="724BED49"/>
    <w:rsid w:val="72541BCC"/>
    <w:rsid w:val="726149C8"/>
    <w:rsid w:val="7277DF0D"/>
    <w:rsid w:val="72910307"/>
    <w:rsid w:val="72B085F2"/>
    <w:rsid w:val="72B56FD4"/>
    <w:rsid w:val="73023DE0"/>
    <w:rsid w:val="731EC763"/>
    <w:rsid w:val="7336CDF6"/>
    <w:rsid w:val="7338EF9C"/>
    <w:rsid w:val="7352542F"/>
    <w:rsid w:val="7371B9B3"/>
    <w:rsid w:val="73AB8CB6"/>
    <w:rsid w:val="73B64347"/>
    <w:rsid w:val="73DA8371"/>
    <w:rsid w:val="73E19AB9"/>
    <w:rsid w:val="7414F0E0"/>
    <w:rsid w:val="744DBD36"/>
    <w:rsid w:val="7472C4FC"/>
    <w:rsid w:val="74A606C8"/>
    <w:rsid w:val="74FAE3B7"/>
    <w:rsid w:val="7533F217"/>
    <w:rsid w:val="75435008"/>
    <w:rsid w:val="7545333F"/>
    <w:rsid w:val="75489B2F"/>
    <w:rsid w:val="75851100"/>
    <w:rsid w:val="75A4ADE8"/>
    <w:rsid w:val="76075D34"/>
    <w:rsid w:val="761AAFD9"/>
    <w:rsid w:val="76212209"/>
    <w:rsid w:val="762E2900"/>
    <w:rsid w:val="766EC629"/>
    <w:rsid w:val="769BCFAB"/>
    <w:rsid w:val="76D64201"/>
    <w:rsid w:val="76D7084E"/>
    <w:rsid w:val="76E622D0"/>
    <w:rsid w:val="7724392C"/>
    <w:rsid w:val="774C1DB8"/>
    <w:rsid w:val="775246B8"/>
    <w:rsid w:val="7764F371"/>
    <w:rsid w:val="7778B632"/>
    <w:rsid w:val="778E3F92"/>
    <w:rsid w:val="77DDE0D7"/>
    <w:rsid w:val="77E7EFC9"/>
    <w:rsid w:val="77F3C7F8"/>
    <w:rsid w:val="78658E33"/>
    <w:rsid w:val="78A54319"/>
    <w:rsid w:val="78BA11A2"/>
    <w:rsid w:val="78EEB61A"/>
    <w:rsid w:val="78F413AC"/>
    <w:rsid w:val="790E9C9D"/>
    <w:rsid w:val="79148592"/>
    <w:rsid w:val="791796D8"/>
    <w:rsid w:val="7939A2C6"/>
    <w:rsid w:val="793E3B66"/>
    <w:rsid w:val="794E4664"/>
    <w:rsid w:val="79640DC0"/>
    <w:rsid w:val="79726178"/>
    <w:rsid w:val="7998583B"/>
    <w:rsid w:val="799E5463"/>
    <w:rsid w:val="79E3DE2C"/>
    <w:rsid w:val="7A17414D"/>
    <w:rsid w:val="7A2D7E17"/>
    <w:rsid w:val="7A4DF11B"/>
    <w:rsid w:val="7A5FD127"/>
    <w:rsid w:val="7A6F3B08"/>
    <w:rsid w:val="7A8E5DE7"/>
    <w:rsid w:val="7A8EBBE4"/>
    <w:rsid w:val="7A92E80A"/>
    <w:rsid w:val="7AD6D99C"/>
    <w:rsid w:val="7ADE0B5B"/>
    <w:rsid w:val="7B0FC3D0"/>
    <w:rsid w:val="7B27E46C"/>
    <w:rsid w:val="7B3CBD9F"/>
    <w:rsid w:val="7B461F81"/>
    <w:rsid w:val="7B52BDD3"/>
    <w:rsid w:val="7B5CB8FD"/>
    <w:rsid w:val="7BAE6645"/>
    <w:rsid w:val="7BB44A21"/>
    <w:rsid w:val="7BBBA88D"/>
    <w:rsid w:val="7BC27595"/>
    <w:rsid w:val="7BC44D67"/>
    <w:rsid w:val="7BC92F8B"/>
    <w:rsid w:val="7C10A252"/>
    <w:rsid w:val="7C27D15F"/>
    <w:rsid w:val="7C3B213B"/>
    <w:rsid w:val="7C40312D"/>
    <w:rsid w:val="7C4305E4"/>
    <w:rsid w:val="7C43F96D"/>
    <w:rsid w:val="7C6C3C95"/>
    <w:rsid w:val="7CB74E84"/>
    <w:rsid w:val="7D19814C"/>
    <w:rsid w:val="7D2EA7F6"/>
    <w:rsid w:val="7D3E93B6"/>
    <w:rsid w:val="7D4E94C7"/>
    <w:rsid w:val="7D970C00"/>
    <w:rsid w:val="7DA0FCB9"/>
    <w:rsid w:val="7DEEB509"/>
    <w:rsid w:val="7DF0D6A5"/>
    <w:rsid w:val="7E022E1C"/>
    <w:rsid w:val="7E06F80E"/>
    <w:rsid w:val="7E2A4075"/>
    <w:rsid w:val="7E6E6A14"/>
    <w:rsid w:val="7E7B7B79"/>
    <w:rsid w:val="7EBCD022"/>
    <w:rsid w:val="7EECE91D"/>
    <w:rsid w:val="7F0A7714"/>
    <w:rsid w:val="7F1E8259"/>
    <w:rsid w:val="7F23AF8C"/>
    <w:rsid w:val="7F395F60"/>
    <w:rsid w:val="7F3F34CE"/>
    <w:rsid w:val="7F4D7B48"/>
    <w:rsid w:val="7F5C8B10"/>
    <w:rsid w:val="7FC861EC"/>
    <w:rsid w:val="7FC9A212"/>
    <w:rsid w:val="7FF12E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405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87"/>
    <w:pPr>
      <w:spacing w:after="240" w:line="240" w:lineRule="exact"/>
      <w:ind w:left="567"/>
      <w:jc w:val="both"/>
    </w:pPr>
  </w:style>
  <w:style w:type="paragraph" w:styleId="Heading1">
    <w:name w:val="heading 1"/>
    <w:basedOn w:val="Normal"/>
    <w:next w:val="Normal"/>
    <w:link w:val="Heading1Char"/>
    <w:qFormat/>
    <w:rsid w:val="00A50CE5"/>
    <w:pPr>
      <w:keepNext/>
      <w:keepLines/>
      <w:pageBreakBefore/>
      <w:spacing w:before="240" w:after="0"/>
      <w:outlineLvl w:val="0"/>
    </w:pPr>
    <w:rPr>
      <w:rFonts w:asciiTheme="majorHAnsi" w:eastAsiaTheme="majorEastAsia" w:hAnsiTheme="majorHAnsi" w:cstheme="majorBidi"/>
      <w:color w:val="C00000"/>
      <w:sz w:val="32"/>
      <w:szCs w:val="32"/>
    </w:rPr>
  </w:style>
  <w:style w:type="paragraph" w:styleId="Heading2">
    <w:name w:val="heading 2"/>
    <w:basedOn w:val="Normal"/>
    <w:next w:val="Normal"/>
    <w:link w:val="Heading2Char"/>
    <w:unhideWhenUsed/>
    <w:qFormat/>
    <w:rsid w:val="000031A3"/>
    <w:pPr>
      <w:keepNext/>
      <w:keepLines/>
      <w:spacing w:before="40" w:after="0"/>
      <w:outlineLvl w:val="1"/>
    </w:pPr>
    <w:rPr>
      <w:rFonts w:asciiTheme="majorHAnsi" w:eastAsiaTheme="majorEastAsia" w:hAnsiTheme="majorHAnsi" w:cstheme="majorBidi"/>
      <w:color w:val="C00000"/>
      <w:sz w:val="26"/>
      <w:szCs w:val="26"/>
    </w:rPr>
  </w:style>
  <w:style w:type="paragraph" w:styleId="Heading3">
    <w:name w:val="heading 3"/>
    <w:basedOn w:val="Normal"/>
    <w:next w:val="Normal"/>
    <w:link w:val="Heading3Char"/>
    <w:uiPriority w:val="9"/>
    <w:unhideWhenUsed/>
    <w:qFormat/>
    <w:rsid w:val="00232FFC"/>
    <w:pPr>
      <w:keepNext/>
      <w:keepLines/>
      <w:spacing w:before="40" w:after="0"/>
      <w:outlineLvl w:val="2"/>
    </w:pPr>
    <w:rPr>
      <w:rFonts w:eastAsiaTheme="majorEastAsia" w:cstheme="majorBidi"/>
      <w:color w:val="C00000"/>
      <w:sz w:val="24"/>
      <w:szCs w:val="24"/>
    </w:rPr>
  </w:style>
  <w:style w:type="paragraph" w:styleId="Heading4">
    <w:name w:val="heading 4"/>
    <w:basedOn w:val="Normal"/>
    <w:next w:val="Normal"/>
    <w:link w:val="Heading4Char"/>
    <w:uiPriority w:val="9"/>
    <w:unhideWhenUsed/>
    <w:qFormat/>
    <w:rsid w:val="00232FFC"/>
    <w:pPr>
      <w:keepNext/>
      <w:keepLines/>
      <w:spacing w:before="40" w:after="0"/>
      <w:outlineLvl w:val="3"/>
    </w:pPr>
    <w:rPr>
      <w:rFonts w:ascii="Calibri" w:eastAsiaTheme="majorEastAsia" w:hAnsi="Calibri" w:cstheme="majorBidi"/>
      <w:i/>
      <w:i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7EBE"/>
    <w:pPr>
      <w:tabs>
        <w:tab w:val="center" w:pos="4513"/>
        <w:tab w:val="right" w:pos="9026"/>
      </w:tabs>
    </w:pPr>
  </w:style>
  <w:style w:type="character" w:customStyle="1" w:styleId="FooterChar">
    <w:name w:val="Footer Char"/>
    <w:basedOn w:val="DefaultParagraphFont"/>
    <w:link w:val="Footer"/>
    <w:uiPriority w:val="99"/>
    <w:rsid w:val="00AC7EBE"/>
  </w:style>
  <w:style w:type="paragraph" w:customStyle="1" w:styleId="ForematterNormal">
    <w:name w:val="Forematter Normal"/>
    <w:basedOn w:val="Normal"/>
    <w:qFormat/>
    <w:rsid w:val="00AC7EBE"/>
  </w:style>
  <w:style w:type="paragraph" w:styleId="Title">
    <w:name w:val="Title"/>
    <w:basedOn w:val="Normal"/>
    <w:next w:val="Normal"/>
    <w:link w:val="TitleChar"/>
    <w:uiPriority w:val="10"/>
    <w:qFormat/>
    <w:rsid w:val="00AC7EBE"/>
    <w:pPr>
      <w:pageBreakBefore/>
      <w:pBdr>
        <w:bottom w:val="single" w:sz="8" w:space="4" w:color="000000" w:themeColor="text1"/>
      </w:pBdr>
      <w:spacing w:after="300" w:line="480" w:lineRule="exact"/>
      <w:ind w:left="0"/>
      <w:contextualSpacing/>
      <w:jc w:val="left"/>
    </w:pPr>
    <w:rPr>
      <w:rFonts w:eastAsiaTheme="majorEastAsia" w:cstheme="majorBidi"/>
      <w:b/>
      <w:color w:val="C00000"/>
      <w:spacing w:val="5"/>
      <w:kern w:val="28"/>
      <w:sz w:val="48"/>
      <w:szCs w:val="52"/>
      <w:lang w:eastAsia="en-GB"/>
    </w:rPr>
  </w:style>
  <w:style w:type="character" w:customStyle="1" w:styleId="TitleChar">
    <w:name w:val="Title Char"/>
    <w:basedOn w:val="DefaultParagraphFont"/>
    <w:link w:val="Title"/>
    <w:uiPriority w:val="10"/>
    <w:rsid w:val="00AC7EBE"/>
    <w:rPr>
      <w:rFonts w:eastAsiaTheme="majorEastAsia" w:cstheme="majorBidi"/>
      <w:b/>
      <w:color w:val="C00000"/>
      <w:spacing w:val="5"/>
      <w:kern w:val="28"/>
      <w:sz w:val="48"/>
      <w:szCs w:val="52"/>
      <w:lang w:eastAsia="en-GB"/>
    </w:rPr>
  </w:style>
  <w:style w:type="paragraph" w:styleId="Header">
    <w:name w:val="header"/>
    <w:basedOn w:val="Normal"/>
    <w:link w:val="HeaderChar"/>
    <w:uiPriority w:val="99"/>
    <w:unhideWhenUsed/>
    <w:rsid w:val="00003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1A3"/>
  </w:style>
  <w:style w:type="character" w:customStyle="1" w:styleId="Heading1Char">
    <w:name w:val="Heading 1 Char"/>
    <w:basedOn w:val="DefaultParagraphFont"/>
    <w:link w:val="Heading1"/>
    <w:uiPriority w:val="9"/>
    <w:rsid w:val="00A50CE5"/>
    <w:rPr>
      <w:rFonts w:asciiTheme="majorHAnsi" w:eastAsiaTheme="majorEastAsia" w:hAnsiTheme="majorHAnsi" w:cstheme="majorBidi"/>
      <w:color w:val="C00000"/>
      <w:sz w:val="32"/>
      <w:szCs w:val="32"/>
    </w:rPr>
  </w:style>
  <w:style w:type="character" w:customStyle="1" w:styleId="Heading2Char">
    <w:name w:val="Heading 2 Char"/>
    <w:basedOn w:val="DefaultParagraphFont"/>
    <w:link w:val="Heading2"/>
    <w:uiPriority w:val="9"/>
    <w:rsid w:val="000031A3"/>
    <w:rPr>
      <w:rFonts w:asciiTheme="majorHAnsi" w:eastAsiaTheme="majorEastAsia" w:hAnsiTheme="majorHAnsi" w:cstheme="majorBidi"/>
      <w:color w:val="C00000"/>
      <w:sz w:val="26"/>
      <w:szCs w:val="26"/>
    </w:rPr>
  </w:style>
  <w:style w:type="paragraph" w:styleId="ListParagraph">
    <w:name w:val="List Paragraph"/>
    <w:aliases w:val="igunore"/>
    <w:basedOn w:val="Normal"/>
    <w:link w:val="ListParagraphChar"/>
    <w:uiPriority w:val="34"/>
    <w:qFormat/>
    <w:rsid w:val="00E25525"/>
    <w:pPr>
      <w:ind w:left="720"/>
      <w:contextualSpacing/>
    </w:pPr>
  </w:style>
  <w:style w:type="character" w:styleId="CommentReference">
    <w:name w:val="annotation reference"/>
    <w:basedOn w:val="DefaultParagraphFont"/>
    <w:uiPriority w:val="99"/>
    <w:semiHidden/>
    <w:unhideWhenUsed/>
    <w:rsid w:val="00E25525"/>
    <w:rPr>
      <w:sz w:val="16"/>
      <w:szCs w:val="16"/>
    </w:rPr>
  </w:style>
  <w:style w:type="paragraph" w:styleId="CommentText">
    <w:name w:val="annotation text"/>
    <w:basedOn w:val="Normal"/>
    <w:link w:val="CommentTextChar"/>
    <w:uiPriority w:val="99"/>
    <w:unhideWhenUsed/>
    <w:rsid w:val="00E25525"/>
    <w:pPr>
      <w:spacing w:line="240" w:lineRule="auto"/>
    </w:pPr>
    <w:rPr>
      <w:sz w:val="20"/>
      <w:szCs w:val="20"/>
    </w:rPr>
  </w:style>
  <w:style w:type="character" w:customStyle="1" w:styleId="CommentTextChar">
    <w:name w:val="Comment Text Char"/>
    <w:basedOn w:val="DefaultParagraphFont"/>
    <w:link w:val="CommentText"/>
    <w:uiPriority w:val="99"/>
    <w:rsid w:val="00E25525"/>
    <w:rPr>
      <w:sz w:val="20"/>
      <w:szCs w:val="20"/>
    </w:rPr>
  </w:style>
  <w:style w:type="paragraph" w:styleId="CommentSubject">
    <w:name w:val="annotation subject"/>
    <w:basedOn w:val="CommentText"/>
    <w:next w:val="CommentText"/>
    <w:link w:val="CommentSubjectChar"/>
    <w:uiPriority w:val="99"/>
    <w:semiHidden/>
    <w:unhideWhenUsed/>
    <w:rsid w:val="00E25525"/>
    <w:rPr>
      <w:b/>
      <w:bCs/>
    </w:rPr>
  </w:style>
  <w:style w:type="character" w:customStyle="1" w:styleId="CommentSubjectChar">
    <w:name w:val="Comment Subject Char"/>
    <w:basedOn w:val="CommentTextChar"/>
    <w:link w:val="CommentSubject"/>
    <w:uiPriority w:val="99"/>
    <w:semiHidden/>
    <w:rsid w:val="00E25525"/>
    <w:rPr>
      <w:b/>
      <w:bCs/>
      <w:sz w:val="20"/>
      <w:szCs w:val="20"/>
    </w:rPr>
  </w:style>
  <w:style w:type="table" w:styleId="TableGrid">
    <w:name w:val="Table Grid"/>
    <w:aliases w:val="x Tableau page de garde"/>
    <w:basedOn w:val="TableNormal"/>
    <w:uiPriority w:val="59"/>
    <w:rsid w:val="006B2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6B2EE0"/>
    <w:pPr>
      <w:spacing w:after="200" w:line="240" w:lineRule="auto"/>
      <w:ind w:left="0"/>
      <w:jc w:val="left"/>
    </w:pPr>
    <w:rPr>
      <w:i/>
      <w:iCs/>
      <w:color w:val="44546A" w:themeColor="text2"/>
      <w:sz w:val="18"/>
      <w:szCs w:val="18"/>
      <w:lang w:val="en-US"/>
    </w:rPr>
  </w:style>
  <w:style w:type="character" w:customStyle="1" w:styleId="ListParagraphChar">
    <w:name w:val="List Paragraph Char"/>
    <w:aliases w:val="igunore Char"/>
    <w:basedOn w:val="DefaultParagraphFont"/>
    <w:link w:val="ListParagraph"/>
    <w:uiPriority w:val="34"/>
    <w:qFormat/>
    <w:rsid w:val="00DC1DCB"/>
  </w:style>
  <w:style w:type="paragraph" w:styleId="NoSpacing">
    <w:name w:val="No Spacing"/>
    <w:link w:val="NoSpacingChar"/>
    <w:uiPriority w:val="1"/>
    <w:qFormat/>
    <w:rsid w:val="00DC1DCB"/>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DC1DCB"/>
    <w:rPr>
      <w:rFonts w:ascii="Calibri" w:eastAsia="Calibri" w:hAnsi="Calibri" w:cs="Times New Roman"/>
    </w:rPr>
  </w:style>
  <w:style w:type="character" w:customStyle="1" w:styleId="CaptionChar">
    <w:name w:val="Caption Char"/>
    <w:basedOn w:val="DefaultParagraphFont"/>
    <w:link w:val="Caption"/>
    <w:uiPriority w:val="35"/>
    <w:rsid w:val="002C5184"/>
    <w:rPr>
      <w:i/>
      <w:iCs/>
      <w:color w:val="44546A" w:themeColor="text2"/>
      <w:sz w:val="18"/>
      <w:szCs w:val="18"/>
      <w:lang w:val="en-US"/>
    </w:rPr>
  </w:style>
  <w:style w:type="paragraph" w:customStyle="1" w:styleId="Default">
    <w:name w:val="Default"/>
    <w:rsid w:val="00775B6D"/>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Style1">
    <w:name w:val="Style1"/>
    <w:basedOn w:val="Caption"/>
    <w:link w:val="Style1Char"/>
    <w:qFormat/>
    <w:rsid w:val="00775B6D"/>
    <w:pPr>
      <w:keepNext/>
      <w:spacing w:after="80"/>
    </w:pPr>
    <w:rPr>
      <w:rFonts w:ascii="Times New Roman" w:eastAsia="Times New Roman" w:hAnsi="Times New Roman" w:cs="Times New Roman"/>
      <w:b/>
      <w:bCs/>
      <w:i w:val="0"/>
      <w:iCs w:val="0"/>
      <w:color w:val="auto"/>
      <w:sz w:val="24"/>
      <w:lang w:val="en-GB" w:eastAsia="el-GR"/>
    </w:rPr>
  </w:style>
  <w:style w:type="character" w:customStyle="1" w:styleId="Style1Char">
    <w:name w:val="Style1 Char"/>
    <w:basedOn w:val="DefaultParagraphFont"/>
    <w:link w:val="Style1"/>
    <w:rsid w:val="00775B6D"/>
    <w:rPr>
      <w:rFonts w:ascii="Times New Roman" w:eastAsia="Times New Roman" w:hAnsi="Times New Roman" w:cs="Times New Roman"/>
      <w:b/>
      <w:bCs/>
      <w:sz w:val="24"/>
      <w:szCs w:val="18"/>
      <w:lang w:eastAsia="el-GR"/>
    </w:rPr>
  </w:style>
  <w:style w:type="table" w:customStyle="1" w:styleId="LightGrid2">
    <w:name w:val="Light Grid2"/>
    <w:basedOn w:val="TableNormal"/>
    <w:next w:val="LightGrid"/>
    <w:uiPriority w:val="62"/>
    <w:rsid w:val="00C81EFB"/>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C81E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232FFC"/>
    <w:rPr>
      <w:rFonts w:eastAsiaTheme="majorEastAsia" w:cstheme="majorBidi"/>
      <w:color w:val="C00000"/>
      <w:sz w:val="24"/>
      <w:szCs w:val="24"/>
    </w:rPr>
  </w:style>
  <w:style w:type="character" w:customStyle="1" w:styleId="Heading4Char">
    <w:name w:val="Heading 4 Char"/>
    <w:basedOn w:val="DefaultParagraphFont"/>
    <w:link w:val="Heading4"/>
    <w:uiPriority w:val="9"/>
    <w:rsid w:val="00232FFC"/>
    <w:rPr>
      <w:rFonts w:ascii="Calibri" w:eastAsiaTheme="majorEastAsia" w:hAnsi="Calibri" w:cstheme="majorBidi"/>
      <w:i/>
      <w:iCs/>
      <w:color w:val="C00000"/>
    </w:rPr>
  </w:style>
  <w:style w:type="paragraph" w:styleId="Revision">
    <w:name w:val="Revision"/>
    <w:hidden/>
    <w:uiPriority w:val="99"/>
    <w:semiHidden/>
    <w:rsid w:val="00C02064"/>
    <w:pPr>
      <w:spacing w:after="0" w:line="240" w:lineRule="auto"/>
    </w:pPr>
  </w:style>
  <w:style w:type="character" w:styleId="Hyperlink">
    <w:name w:val="Hyperlink"/>
    <w:basedOn w:val="DefaultParagraphFont"/>
    <w:uiPriority w:val="99"/>
    <w:unhideWhenUsed/>
    <w:rsid w:val="00C02064"/>
    <w:rPr>
      <w:color w:val="0563C1" w:themeColor="hyperlink"/>
      <w:u w:val="single"/>
    </w:rPr>
  </w:style>
  <w:style w:type="character" w:customStyle="1" w:styleId="UnresolvedMention1">
    <w:name w:val="Unresolved Mention1"/>
    <w:basedOn w:val="DefaultParagraphFont"/>
    <w:uiPriority w:val="99"/>
    <w:semiHidden/>
    <w:unhideWhenUsed/>
    <w:rsid w:val="00C02064"/>
    <w:rPr>
      <w:color w:val="605E5C"/>
      <w:shd w:val="clear" w:color="auto" w:fill="E1DFDD"/>
    </w:rPr>
  </w:style>
  <w:style w:type="paragraph" w:customStyle="1" w:styleId="Tablebody">
    <w:name w:val="Table body"/>
    <w:basedOn w:val="Normal"/>
    <w:qFormat/>
    <w:rsid w:val="001F2A4B"/>
    <w:pPr>
      <w:spacing w:after="0"/>
      <w:ind w:left="0"/>
      <w:jc w:val="left"/>
    </w:pPr>
    <w:rPr>
      <w:rFonts w:ascii="Calibri" w:hAnsi="Calibri"/>
      <w:sz w:val="20"/>
    </w:rPr>
  </w:style>
  <w:style w:type="paragraph" w:styleId="TOCHeading">
    <w:name w:val="TOC Heading"/>
    <w:basedOn w:val="Heading1"/>
    <w:next w:val="Normal"/>
    <w:uiPriority w:val="39"/>
    <w:unhideWhenUsed/>
    <w:qFormat/>
    <w:rsid w:val="00CD266F"/>
    <w:pPr>
      <w:pageBreakBefore w:val="0"/>
      <w:spacing w:line="259" w:lineRule="auto"/>
      <w:ind w:left="0"/>
      <w:jc w:val="left"/>
      <w:outlineLvl w:val="9"/>
    </w:pPr>
    <w:rPr>
      <w:color w:val="2F5496" w:themeColor="accent1" w:themeShade="BF"/>
      <w:lang w:val="en-US"/>
    </w:rPr>
  </w:style>
  <w:style w:type="paragraph" w:styleId="TOC1">
    <w:name w:val="toc 1"/>
    <w:basedOn w:val="Normal"/>
    <w:next w:val="Normal"/>
    <w:autoRedefine/>
    <w:uiPriority w:val="39"/>
    <w:unhideWhenUsed/>
    <w:rsid w:val="003D1E20"/>
    <w:pPr>
      <w:tabs>
        <w:tab w:val="left" w:pos="435"/>
        <w:tab w:val="right" w:leader="dot" w:pos="9015"/>
      </w:tabs>
      <w:spacing w:after="100"/>
      <w:ind w:left="0"/>
    </w:pPr>
  </w:style>
  <w:style w:type="paragraph" w:styleId="TOC2">
    <w:name w:val="toc 2"/>
    <w:basedOn w:val="Normal"/>
    <w:next w:val="Normal"/>
    <w:autoRedefine/>
    <w:uiPriority w:val="39"/>
    <w:unhideWhenUsed/>
    <w:rsid w:val="002066F0"/>
    <w:pPr>
      <w:tabs>
        <w:tab w:val="left" w:pos="880"/>
        <w:tab w:val="right" w:leader="dot" w:pos="9016"/>
      </w:tabs>
      <w:spacing w:after="100"/>
      <w:ind w:left="220"/>
    </w:pPr>
  </w:style>
  <w:style w:type="paragraph" w:styleId="TOC3">
    <w:name w:val="toc 3"/>
    <w:basedOn w:val="Normal"/>
    <w:next w:val="Normal"/>
    <w:autoRedefine/>
    <w:uiPriority w:val="39"/>
    <w:unhideWhenUsed/>
    <w:rsid w:val="00CD266F"/>
    <w:pPr>
      <w:spacing w:after="100"/>
      <w:ind w:left="440"/>
    </w:pPr>
  </w:style>
  <w:style w:type="paragraph" w:styleId="ListNumber5">
    <w:name w:val="List Number 5"/>
    <w:basedOn w:val="Normal"/>
    <w:uiPriority w:val="99"/>
    <w:unhideWhenUsed/>
    <w:rsid w:val="00CB253F"/>
    <w:pPr>
      <w:numPr>
        <w:ilvl w:val="4"/>
        <w:numId w:val="17"/>
      </w:numPr>
      <w:spacing w:before="160" w:after="0" w:line="320" w:lineRule="atLeast"/>
      <w:contextualSpacing/>
      <w:jc w:val="left"/>
    </w:pPr>
    <w:rPr>
      <w:color w:val="000000" w:themeColor="text1"/>
      <w:sz w:val="20"/>
      <w:lang w:val="en-US"/>
    </w:rPr>
  </w:style>
  <w:style w:type="paragraph" w:styleId="ListBullet">
    <w:name w:val="List Bullet"/>
    <w:aliases w:val="Laz List Bullet 1"/>
    <w:basedOn w:val="Normal"/>
    <w:link w:val="ListBulletChar"/>
    <w:uiPriority w:val="6"/>
    <w:rsid w:val="00CB253F"/>
    <w:pPr>
      <w:numPr>
        <w:numId w:val="16"/>
      </w:numPr>
      <w:spacing w:before="160" w:after="0" w:line="320" w:lineRule="atLeast"/>
      <w:jc w:val="left"/>
    </w:pPr>
    <w:rPr>
      <w:color w:val="000000" w:themeColor="text1"/>
      <w:sz w:val="20"/>
      <w:lang w:val="en-US"/>
    </w:rPr>
  </w:style>
  <w:style w:type="paragraph" w:styleId="ListNumber">
    <w:name w:val="List Number"/>
    <w:basedOn w:val="Normal"/>
    <w:uiPriority w:val="99"/>
    <w:unhideWhenUsed/>
    <w:rsid w:val="00CB253F"/>
    <w:pPr>
      <w:numPr>
        <w:numId w:val="17"/>
      </w:numPr>
      <w:spacing w:before="160" w:after="0" w:line="320" w:lineRule="atLeast"/>
      <w:contextualSpacing/>
      <w:jc w:val="left"/>
    </w:pPr>
    <w:rPr>
      <w:color w:val="000000" w:themeColor="text1"/>
      <w:sz w:val="20"/>
      <w:lang w:val="en-US"/>
    </w:rPr>
  </w:style>
  <w:style w:type="paragraph" w:styleId="ListNumber2">
    <w:name w:val="List Number 2"/>
    <w:basedOn w:val="Normal"/>
    <w:uiPriority w:val="99"/>
    <w:unhideWhenUsed/>
    <w:rsid w:val="00CB253F"/>
    <w:pPr>
      <w:numPr>
        <w:ilvl w:val="1"/>
        <w:numId w:val="17"/>
      </w:numPr>
      <w:spacing w:before="160" w:after="0" w:line="320" w:lineRule="atLeast"/>
      <w:contextualSpacing/>
      <w:jc w:val="left"/>
    </w:pPr>
    <w:rPr>
      <w:color w:val="000000" w:themeColor="text1"/>
      <w:sz w:val="20"/>
      <w:lang w:val="en-US"/>
    </w:rPr>
  </w:style>
  <w:style w:type="paragraph" w:styleId="ListNumber3">
    <w:name w:val="List Number 3"/>
    <w:basedOn w:val="Normal"/>
    <w:uiPriority w:val="99"/>
    <w:unhideWhenUsed/>
    <w:rsid w:val="00CB253F"/>
    <w:pPr>
      <w:numPr>
        <w:ilvl w:val="2"/>
        <w:numId w:val="17"/>
      </w:numPr>
      <w:spacing w:before="160" w:after="0" w:line="320" w:lineRule="atLeast"/>
      <w:contextualSpacing/>
      <w:jc w:val="left"/>
    </w:pPr>
    <w:rPr>
      <w:color w:val="000000" w:themeColor="text1"/>
      <w:sz w:val="20"/>
      <w:lang w:val="en-US"/>
    </w:rPr>
  </w:style>
  <w:style w:type="paragraph" w:styleId="ListNumber4">
    <w:name w:val="List Number 4"/>
    <w:basedOn w:val="Normal"/>
    <w:uiPriority w:val="99"/>
    <w:unhideWhenUsed/>
    <w:rsid w:val="00CB253F"/>
    <w:pPr>
      <w:numPr>
        <w:ilvl w:val="3"/>
        <w:numId w:val="17"/>
      </w:numPr>
      <w:spacing w:before="160" w:after="0" w:line="320" w:lineRule="atLeast"/>
      <w:contextualSpacing/>
      <w:jc w:val="left"/>
    </w:pPr>
    <w:rPr>
      <w:color w:val="000000" w:themeColor="text1"/>
      <w:sz w:val="20"/>
      <w:lang w:val="en-US"/>
    </w:rPr>
  </w:style>
  <w:style w:type="character" w:customStyle="1" w:styleId="ListBulletChar">
    <w:name w:val="List Bullet Char"/>
    <w:aliases w:val="Laz List Bullet 1 Char"/>
    <w:basedOn w:val="DefaultParagraphFont"/>
    <w:link w:val="ListBullet"/>
    <w:uiPriority w:val="6"/>
    <w:rsid w:val="00CB253F"/>
    <w:rPr>
      <w:color w:val="000000" w:themeColor="text1"/>
      <w:sz w:val="20"/>
      <w:lang w:val="en-US"/>
    </w:rPr>
  </w:style>
  <w:style w:type="numbering" w:customStyle="1" w:styleId="LazNumberLists">
    <w:name w:val="LazNumberLists"/>
    <w:uiPriority w:val="99"/>
    <w:rsid w:val="00CB253F"/>
    <w:pPr>
      <w:numPr>
        <w:numId w:val="17"/>
      </w:numPr>
    </w:pPr>
  </w:style>
  <w:style w:type="paragraph" w:customStyle="1" w:styleId="LazMessageText">
    <w:name w:val="Laz Message Text"/>
    <w:basedOn w:val="Normal"/>
    <w:next w:val="Normal"/>
    <w:uiPriority w:val="5"/>
    <w:qFormat/>
    <w:rsid w:val="004D618C"/>
    <w:pPr>
      <w:spacing w:before="240" w:after="0" w:line="280" w:lineRule="exact"/>
      <w:ind w:left="0"/>
      <w:jc w:val="left"/>
    </w:pPr>
    <w:rPr>
      <w:rFonts w:ascii="Arial Narrow" w:hAnsi="Arial Narrow"/>
      <w:b/>
      <w:color w:val="BF8F00" w:themeColor="accent4" w:themeShade="BF"/>
      <w:sz w:val="26"/>
      <w:szCs w:val="24"/>
      <w:lang w:val="en-US"/>
    </w:rPr>
  </w:style>
  <w:style w:type="paragraph" w:styleId="BalloonText">
    <w:name w:val="Balloon Text"/>
    <w:basedOn w:val="Normal"/>
    <w:link w:val="BalloonTextChar"/>
    <w:uiPriority w:val="99"/>
    <w:semiHidden/>
    <w:unhideWhenUsed/>
    <w:rsid w:val="00EE0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EF4"/>
    <w:rPr>
      <w:rFonts w:ascii="Segoe UI" w:hAnsi="Segoe UI" w:cs="Segoe UI"/>
      <w:sz w:val="18"/>
      <w:szCs w:val="18"/>
    </w:rPr>
  </w:style>
  <w:style w:type="table" w:styleId="GridTable5Dark">
    <w:name w:val="Grid Table 5 Dark"/>
    <w:basedOn w:val="TableNormal"/>
    <w:uiPriority w:val="50"/>
    <w:rsid w:val="00715D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EndnoteText">
    <w:name w:val="endnote text"/>
    <w:basedOn w:val="Normal"/>
    <w:link w:val="EndnoteTextChar"/>
    <w:uiPriority w:val="99"/>
    <w:semiHidden/>
    <w:unhideWhenUsed/>
    <w:rsid w:val="007450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5044"/>
    <w:rPr>
      <w:sz w:val="20"/>
      <w:szCs w:val="20"/>
    </w:rPr>
  </w:style>
  <w:style w:type="character" w:styleId="EndnoteReference">
    <w:name w:val="endnote reference"/>
    <w:basedOn w:val="DefaultParagraphFont"/>
    <w:uiPriority w:val="99"/>
    <w:semiHidden/>
    <w:unhideWhenUsed/>
    <w:rsid w:val="00745044"/>
    <w:rPr>
      <w:vertAlign w:val="superscript"/>
    </w:rPr>
  </w:style>
  <w:style w:type="character" w:styleId="FollowedHyperlink">
    <w:name w:val="FollowedHyperlink"/>
    <w:basedOn w:val="DefaultParagraphFont"/>
    <w:uiPriority w:val="99"/>
    <w:semiHidden/>
    <w:unhideWhenUsed/>
    <w:rsid w:val="00745044"/>
    <w:rPr>
      <w:color w:val="954F72" w:themeColor="followedHyperlink"/>
      <w:u w:val="single"/>
    </w:rPr>
  </w:style>
  <w:style w:type="table" w:styleId="GridTable5Dark-Accent1">
    <w:name w:val="Grid Table 5 Dark Accent 1"/>
    <w:basedOn w:val="TableNormal"/>
    <w:uiPriority w:val="50"/>
    <w:rsid w:val="00A270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otnoteReference">
    <w:name w:val="footnote reference"/>
    <w:basedOn w:val="DefaultParagraphFont"/>
    <w:uiPriority w:val="99"/>
    <w:semiHidden/>
    <w:unhideWhenUsed/>
    <w:rsid w:val="00A2705A"/>
    <w:rPr>
      <w:vertAlign w:val="superscript"/>
    </w:rPr>
  </w:style>
  <w:style w:type="character" w:customStyle="1" w:styleId="FootnoteTextChar">
    <w:name w:val="Footnote Text Char"/>
    <w:basedOn w:val="DefaultParagraphFont"/>
    <w:link w:val="FootnoteText"/>
    <w:uiPriority w:val="99"/>
    <w:semiHidden/>
    <w:rsid w:val="00A2705A"/>
    <w:rPr>
      <w:sz w:val="20"/>
      <w:szCs w:val="20"/>
    </w:rPr>
  </w:style>
  <w:style w:type="paragraph" w:styleId="FootnoteText">
    <w:name w:val="footnote text"/>
    <w:basedOn w:val="Normal"/>
    <w:link w:val="FootnoteTextChar"/>
    <w:uiPriority w:val="99"/>
    <w:semiHidden/>
    <w:unhideWhenUsed/>
    <w:rsid w:val="00A2705A"/>
    <w:pPr>
      <w:spacing w:after="0" w:line="240" w:lineRule="auto"/>
    </w:pPr>
    <w:rPr>
      <w:sz w:val="20"/>
      <w:szCs w:val="20"/>
    </w:rPr>
  </w:style>
  <w:style w:type="character" w:customStyle="1" w:styleId="FootnoteTextChar1">
    <w:name w:val="Footnote Text Char1"/>
    <w:basedOn w:val="DefaultParagraphFont"/>
    <w:uiPriority w:val="99"/>
    <w:semiHidden/>
    <w:rsid w:val="00A2705A"/>
    <w:rPr>
      <w:sz w:val="20"/>
      <w:szCs w:val="20"/>
    </w:rPr>
  </w:style>
  <w:style w:type="table" w:customStyle="1" w:styleId="xTableaupagedegarde1">
    <w:name w:val="x Tableau page de garde1"/>
    <w:basedOn w:val="TableNormal"/>
    <w:next w:val="TableGrid"/>
    <w:uiPriority w:val="59"/>
    <w:rsid w:val="006A4A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xTableaupagedegarde11">
    <w:name w:val="x Tableau page de garde11"/>
    <w:basedOn w:val="TableNormal"/>
    <w:next w:val="TableGrid"/>
    <w:uiPriority w:val="59"/>
    <w:rsid w:val="00B7768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1">
    <w:name w:val="List Bullet11"/>
    <w:basedOn w:val="Normal"/>
    <w:qFormat/>
    <w:rsid w:val="00B77686"/>
    <w:pPr>
      <w:ind w:left="1854" w:hanging="360"/>
      <w:contextualSpacing/>
      <w:jc w:val="left"/>
    </w:pPr>
    <w:rPr>
      <w:rFonts w:ascii="Calibri" w:eastAsia="Times New Roman" w:hAnsi="Calibri"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8148">
      <w:bodyDiv w:val="1"/>
      <w:marLeft w:val="0"/>
      <w:marRight w:val="0"/>
      <w:marTop w:val="0"/>
      <w:marBottom w:val="0"/>
      <w:divBdr>
        <w:top w:val="none" w:sz="0" w:space="0" w:color="auto"/>
        <w:left w:val="none" w:sz="0" w:space="0" w:color="auto"/>
        <w:bottom w:val="none" w:sz="0" w:space="0" w:color="auto"/>
        <w:right w:val="none" w:sz="0" w:space="0" w:color="auto"/>
      </w:divBdr>
    </w:div>
    <w:div w:id="560598151">
      <w:bodyDiv w:val="1"/>
      <w:marLeft w:val="0"/>
      <w:marRight w:val="0"/>
      <w:marTop w:val="0"/>
      <w:marBottom w:val="0"/>
      <w:divBdr>
        <w:top w:val="none" w:sz="0" w:space="0" w:color="auto"/>
        <w:left w:val="none" w:sz="0" w:space="0" w:color="auto"/>
        <w:bottom w:val="none" w:sz="0" w:space="0" w:color="auto"/>
        <w:right w:val="none" w:sz="0" w:space="0" w:color="auto"/>
      </w:divBdr>
    </w:div>
    <w:div w:id="1010572182">
      <w:bodyDiv w:val="1"/>
      <w:marLeft w:val="0"/>
      <w:marRight w:val="0"/>
      <w:marTop w:val="0"/>
      <w:marBottom w:val="0"/>
      <w:divBdr>
        <w:top w:val="none" w:sz="0" w:space="0" w:color="auto"/>
        <w:left w:val="none" w:sz="0" w:space="0" w:color="auto"/>
        <w:bottom w:val="none" w:sz="0" w:space="0" w:color="auto"/>
        <w:right w:val="none" w:sz="0" w:space="0" w:color="auto"/>
      </w:divBdr>
    </w:div>
    <w:div w:id="1192304481">
      <w:bodyDiv w:val="1"/>
      <w:marLeft w:val="0"/>
      <w:marRight w:val="0"/>
      <w:marTop w:val="0"/>
      <w:marBottom w:val="0"/>
      <w:divBdr>
        <w:top w:val="none" w:sz="0" w:space="0" w:color="auto"/>
        <w:left w:val="none" w:sz="0" w:space="0" w:color="auto"/>
        <w:bottom w:val="none" w:sz="0" w:space="0" w:color="auto"/>
        <w:right w:val="none" w:sz="0" w:space="0" w:color="auto"/>
      </w:divBdr>
      <w:divsChild>
        <w:div w:id="462619912">
          <w:marLeft w:val="446"/>
          <w:marRight w:val="0"/>
          <w:marTop w:val="0"/>
          <w:marBottom w:val="0"/>
          <w:divBdr>
            <w:top w:val="none" w:sz="0" w:space="0" w:color="auto"/>
            <w:left w:val="none" w:sz="0" w:space="0" w:color="auto"/>
            <w:bottom w:val="none" w:sz="0" w:space="0" w:color="auto"/>
            <w:right w:val="none" w:sz="0" w:space="0" w:color="auto"/>
          </w:divBdr>
        </w:div>
        <w:div w:id="874738619">
          <w:marLeft w:val="446"/>
          <w:marRight w:val="0"/>
          <w:marTop w:val="0"/>
          <w:marBottom w:val="0"/>
          <w:divBdr>
            <w:top w:val="none" w:sz="0" w:space="0" w:color="auto"/>
            <w:left w:val="none" w:sz="0" w:space="0" w:color="auto"/>
            <w:bottom w:val="none" w:sz="0" w:space="0" w:color="auto"/>
            <w:right w:val="none" w:sz="0" w:space="0" w:color="auto"/>
          </w:divBdr>
        </w:div>
        <w:div w:id="935404605">
          <w:marLeft w:val="446"/>
          <w:marRight w:val="0"/>
          <w:marTop w:val="0"/>
          <w:marBottom w:val="0"/>
          <w:divBdr>
            <w:top w:val="none" w:sz="0" w:space="0" w:color="auto"/>
            <w:left w:val="none" w:sz="0" w:space="0" w:color="auto"/>
            <w:bottom w:val="none" w:sz="0" w:space="0" w:color="auto"/>
            <w:right w:val="none" w:sz="0" w:space="0" w:color="auto"/>
          </w:divBdr>
        </w:div>
        <w:div w:id="1971014235">
          <w:marLeft w:val="446"/>
          <w:marRight w:val="0"/>
          <w:marTop w:val="0"/>
          <w:marBottom w:val="0"/>
          <w:divBdr>
            <w:top w:val="none" w:sz="0" w:space="0" w:color="auto"/>
            <w:left w:val="none" w:sz="0" w:space="0" w:color="auto"/>
            <w:bottom w:val="none" w:sz="0" w:space="0" w:color="auto"/>
            <w:right w:val="none" w:sz="0" w:space="0" w:color="auto"/>
          </w:divBdr>
        </w:div>
      </w:divsChild>
    </w:div>
    <w:div w:id="1943494470">
      <w:bodyDiv w:val="1"/>
      <w:marLeft w:val="0"/>
      <w:marRight w:val="0"/>
      <w:marTop w:val="0"/>
      <w:marBottom w:val="0"/>
      <w:divBdr>
        <w:top w:val="none" w:sz="0" w:space="0" w:color="auto"/>
        <w:left w:val="none" w:sz="0" w:space="0" w:color="auto"/>
        <w:bottom w:val="none" w:sz="0" w:space="0" w:color="auto"/>
        <w:right w:val="none" w:sz="0" w:space="0" w:color="auto"/>
      </w:divBdr>
    </w:div>
    <w:div w:id="197705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AF97898A5D61449617CAC158A4F509" ma:contentTypeVersion="16" ma:contentTypeDescription="Create a new document." ma:contentTypeScope="" ma:versionID="36b184ebb8efde2716b0cb5e0993141b">
  <xsd:schema xmlns:xsd="http://www.w3.org/2001/XMLSchema" xmlns:xs="http://www.w3.org/2001/XMLSchema" xmlns:p="http://schemas.microsoft.com/office/2006/metadata/properties" xmlns:ns2="7d6d43d0-89d7-467a-b665-9073031eddc4" xmlns:ns3="634ccf9a-956a-4a81-8b55-d3e33c8c6d20" targetNamespace="http://schemas.microsoft.com/office/2006/metadata/properties" ma:root="true" ma:fieldsID="751ba2cabe3aa5940cb86d69d8c22481" ns2:_="" ns3:_="">
    <xsd:import namespace="7d6d43d0-89d7-467a-b665-9073031eddc4"/>
    <xsd:import namespace="634ccf9a-956a-4a81-8b55-d3e33c8c6d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43d0-89d7-467a-b665-9073031ed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013378-9120-43ce-8c54-100616012d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4ccf9a-956a-4a81-8b55-d3e33c8c6d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6d6f4d-ae87-4b8f-aeae-96874047f266}" ma:internalName="TaxCatchAll" ma:showField="CatchAllData" ma:web="634ccf9a-956a-4a81-8b55-d3e33c8c6d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FB63E-3E4E-4257-BCF5-8BBFDE182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43d0-89d7-467a-b665-9073031eddc4"/>
    <ds:schemaRef ds:uri="634ccf9a-956a-4a81-8b55-d3e33c8c6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DB042-13D2-48DB-B1D5-36C105916780}">
  <ds:schemaRefs>
    <ds:schemaRef ds:uri="http://schemas.microsoft.com/sharepoint/v3/contenttype/forms"/>
  </ds:schemaRefs>
</ds:datastoreItem>
</file>

<file path=customXml/itemProps3.xml><?xml version="1.0" encoding="utf-8"?>
<ds:datastoreItem xmlns:ds="http://schemas.openxmlformats.org/officeDocument/2006/customXml" ds:itemID="{5BDD8A80-7358-405F-BD70-EAF208B1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11677</Words>
  <Characters>66561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2024-09-24T14:11:00Z</dcterms:created>
  <dcterms:modified xsi:type="dcterms:W3CDTF">2024-09-24T14:11:00Z</dcterms:modified>
</cp:coreProperties>
</file>